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3E10" w14:textId="035CDA77" w:rsidR="00CE08B6" w:rsidRPr="005B05DC" w:rsidRDefault="00A172C2" w:rsidP="00EF7611">
      <w:pPr>
        <w:pStyle w:val="Heading1"/>
        <w:jc w:val="center"/>
        <w:rPr>
          <w:sz w:val="40"/>
          <w:szCs w:val="40"/>
        </w:rPr>
      </w:pPr>
      <w:r w:rsidRPr="00A172C2">
        <w:rPr>
          <w:sz w:val="40"/>
          <w:szCs w:val="40"/>
          <w:lang w:val="en-US"/>
        </w:rPr>
        <w:t>Fundi</w:t>
      </w:r>
      <w:r>
        <w:rPr>
          <w:sz w:val="40"/>
          <w:szCs w:val="40"/>
          <w:lang w:val="en-US"/>
        </w:rPr>
        <w:t xml:space="preserve">ng Decisions, Dividend Policy, </w:t>
      </w:r>
      <w:r>
        <w:rPr>
          <w:sz w:val="40"/>
          <w:szCs w:val="40"/>
          <w:lang w:val="id-ID"/>
        </w:rPr>
        <w:t>a</w:t>
      </w:r>
      <w:proofErr w:type="spellStart"/>
      <w:r>
        <w:rPr>
          <w:sz w:val="40"/>
          <w:szCs w:val="40"/>
          <w:lang w:val="en-US"/>
        </w:rPr>
        <w:t>nd</w:t>
      </w:r>
      <w:proofErr w:type="spellEnd"/>
      <w:r>
        <w:rPr>
          <w:sz w:val="40"/>
          <w:szCs w:val="40"/>
          <w:lang w:val="en-US"/>
        </w:rPr>
        <w:t xml:space="preserve"> Firm Value </w:t>
      </w:r>
      <w:r>
        <w:rPr>
          <w:sz w:val="40"/>
          <w:szCs w:val="40"/>
          <w:lang w:val="id-ID"/>
        </w:rPr>
        <w:t>i</w:t>
      </w:r>
      <w:r w:rsidRPr="00A172C2">
        <w:rPr>
          <w:sz w:val="40"/>
          <w:szCs w:val="40"/>
          <w:lang w:val="en-US"/>
        </w:rPr>
        <w:t>n Indonesia</w:t>
      </w:r>
      <w:r w:rsidRPr="00DB67F8">
        <w:rPr>
          <w:sz w:val="40"/>
          <w:szCs w:val="40"/>
        </w:rPr>
        <w:t xml:space="preserve"> </w:t>
      </w:r>
    </w:p>
    <w:p w14:paraId="52AB3E11" w14:textId="77777777" w:rsidR="00CE08B6" w:rsidRDefault="00CE08B6" w:rsidP="00CE08B6">
      <w:pPr>
        <w:pStyle w:val="NoSpacing"/>
        <w:ind w:left="0" w:firstLine="0"/>
        <w:rPr>
          <w:sz w:val="40"/>
          <w:szCs w:val="40"/>
          <w:lang w:val="id-ID"/>
        </w:rPr>
      </w:pPr>
    </w:p>
    <w:p w14:paraId="52AB3E12" w14:textId="79CE6537" w:rsidR="00CE08B6" w:rsidRPr="00A44ABB" w:rsidRDefault="00A172C2" w:rsidP="000262C5">
      <w:pPr>
        <w:pStyle w:val="NoSpacing"/>
        <w:jc w:val="center"/>
        <w:rPr>
          <w:b/>
          <w:szCs w:val="24"/>
        </w:rPr>
      </w:pPr>
      <w:proofErr w:type="spellStart"/>
      <w:r w:rsidRPr="00A172C2">
        <w:rPr>
          <w:b/>
          <w:szCs w:val="24"/>
        </w:rPr>
        <w:t>Yosiv</w:t>
      </w:r>
      <w:proofErr w:type="spellEnd"/>
      <w:r w:rsidRPr="00A172C2">
        <w:rPr>
          <w:b/>
          <w:szCs w:val="24"/>
        </w:rPr>
        <w:t xml:space="preserve"> </w:t>
      </w:r>
      <w:proofErr w:type="spellStart"/>
      <w:r w:rsidRPr="00A172C2">
        <w:rPr>
          <w:b/>
          <w:szCs w:val="24"/>
        </w:rPr>
        <w:t>Phenardi</w:t>
      </w:r>
      <w:proofErr w:type="spellEnd"/>
    </w:p>
    <w:p w14:paraId="52AB3E13" w14:textId="05CBABF5" w:rsidR="00CE08B6" w:rsidRPr="00A172C2" w:rsidRDefault="00A172C2" w:rsidP="00CE08B6">
      <w:pPr>
        <w:pStyle w:val="NoSpacing"/>
        <w:jc w:val="center"/>
        <w:rPr>
          <w:szCs w:val="24"/>
          <w:lang w:val="id-ID"/>
        </w:rPr>
      </w:pPr>
      <w:bookmarkStart w:id="0" w:name="_Hlk62985428"/>
      <w:proofErr w:type="spellStart"/>
      <w:r w:rsidRPr="00A172C2">
        <w:rPr>
          <w:szCs w:val="24"/>
        </w:rPr>
        <w:t>Universitas</w:t>
      </w:r>
      <w:proofErr w:type="spellEnd"/>
      <w:r w:rsidRPr="00A172C2">
        <w:rPr>
          <w:szCs w:val="24"/>
        </w:rPr>
        <w:t xml:space="preserve"> </w:t>
      </w:r>
      <w:proofErr w:type="spellStart"/>
      <w:r w:rsidRPr="00A172C2">
        <w:rPr>
          <w:szCs w:val="24"/>
        </w:rPr>
        <w:t>Widya</w:t>
      </w:r>
      <w:proofErr w:type="spellEnd"/>
      <w:r w:rsidRPr="00A172C2">
        <w:rPr>
          <w:szCs w:val="24"/>
        </w:rPr>
        <w:t xml:space="preserve"> </w:t>
      </w:r>
      <w:proofErr w:type="gramStart"/>
      <w:r w:rsidRPr="00A172C2">
        <w:rPr>
          <w:szCs w:val="24"/>
        </w:rPr>
        <w:t xml:space="preserve">Dharma </w:t>
      </w:r>
      <w:r>
        <w:rPr>
          <w:szCs w:val="24"/>
          <w:lang w:val="id-ID"/>
        </w:rPr>
        <w:t>,</w:t>
      </w:r>
      <w:proofErr w:type="gramEnd"/>
      <w:r>
        <w:rPr>
          <w:szCs w:val="24"/>
          <w:lang w:val="id-ID"/>
        </w:rPr>
        <w:t xml:space="preserve"> </w:t>
      </w:r>
      <w:r w:rsidRPr="00A172C2">
        <w:rPr>
          <w:szCs w:val="24"/>
        </w:rPr>
        <w:t>Pontianak</w:t>
      </w:r>
      <w:r w:rsidR="00E73A20" w:rsidRPr="00E73A20">
        <w:rPr>
          <w:szCs w:val="24"/>
          <w:lang w:val="en-US"/>
        </w:rPr>
        <w:t xml:space="preserve">, </w:t>
      </w:r>
      <w:r>
        <w:rPr>
          <w:szCs w:val="24"/>
          <w:lang w:val="id-ID"/>
        </w:rPr>
        <w:t>Indonesia</w:t>
      </w:r>
    </w:p>
    <w:bookmarkEnd w:id="0"/>
    <w:p w14:paraId="52AB3E14" w14:textId="6670D8F2" w:rsidR="00CE08B6" w:rsidRPr="00A172C2" w:rsidRDefault="00A172C2" w:rsidP="00CE08B6">
      <w:pPr>
        <w:spacing w:after="0"/>
        <w:ind w:left="0" w:right="136" w:firstLine="0"/>
        <w:jc w:val="center"/>
        <w:rPr>
          <w:bCs/>
          <w:color w:val="auto"/>
          <w:szCs w:val="24"/>
          <w:lang w:val="id-ID"/>
        </w:rPr>
      </w:pPr>
      <w:r w:rsidRPr="00A172C2">
        <w:rPr>
          <w:bCs/>
          <w:color w:val="auto"/>
          <w:szCs w:val="24"/>
        </w:rPr>
        <w:t>yosivphenardi@gmail.com</w:t>
      </w:r>
    </w:p>
    <w:p w14:paraId="78C36198" w14:textId="7A83F030" w:rsidR="00714CAF" w:rsidRDefault="00714CAF" w:rsidP="00CE08B6">
      <w:pPr>
        <w:spacing w:after="0"/>
        <w:ind w:left="0" w:right="136" w:firstLine="0"/>
        <w:jc w:val="center"/>
        <w:rPr>
          <w:bCs/>
          <w:color w:val="auto"/>
          <w:szCs w:val="24"/>
        </w:rPr>
      </w:pPr>
    </w:p>
    <w:p w14:paraId="418FA75D" w14:textId="68459D6D" w:rsidR="00714CAF" w:rsidRPr="00A44ABB" w:rsidRDefault="00A172C2" w:rsidP="00714CAF">
      <w:pPr>
        <w:pStyle w:val="NoSpacing"/>
        <w:jc w:val="center"/>
        <w:rPr>
          <w:b/>
          <w:szCs w:val="24"/>
        </w:rPr>
      </w:pPr>
      <w:proofErr w:type="spellStart"/>
      <w:r w:rsidRPr="00A172C2">
        <w:rPr>
          <w:b/>
          <w:szCs w:val="24"/>
        </w:rPr>
        <w:t>Arif</w:t>
      </w:r>
      <w:proofErr w:type="spellEnd"/>
      <w:r w:rsidRPr="00A172C2">
        <w:rPr>
          <w:b/>
          <w:szCs w:val="24"/>
        </w:rPr>
        <w:t xml:space="preserve"> Budi </w:t>
      </w:r>
      <w:proofErr w:type="spellStart"/>
      <w:r w:rsidRPr="00A172C2">
        <w:rPr>
          <w:b/>
          <w:szCs w:val="24"/>
        </w:rPr>
        <w:t>Satrio</w:t>
      </w:r>
      <w:proofErr w:type="spellEnd"/>
    </w:p>
    <w:p w14:paraId="6E63A15A" w14:textId="77777777" w:rsidR="00A172C2" w:rsidRPr="00A172C2" w:rsidRDefault="00A172C2" w:rsidP="00A172C2">
      <w:pPr>
        <w:pStyle w:val="NoSpacing"/>
        <w:jc w:val="center"/>
        <w:rPr>
          <w:szCs w:val="24"/>
          <w:lang w:val="id-ID"/>
        </w:rPr>
      </w:pPr>
      <w:proofErr w:type="spellStart"/>
      <w:r w:rsidRPr="00A172C2">
        <w:rPr>
          <w:szCs w:val="24"/>
        </w:rPr>
        <w:t>Universitas</w:t>
      </w:r>
      <w:proofErr w:type="spellEnd"/>
      <w:r w:rsidRPr="00A172C2">
        <w:rPr>
          <w:szCs w:val="24"/>
        </w:rPr>
        <w:t xml:space="preserve"> </w:t>
      </w:r>
      <w:proofErr w:type="spellStart"/>
      <w:r w:rsidRPr="00A172C2">
        <w:rPr>
          <w:szCs w:val="24"/>
        </w:rPr>
        <w:t>Widya</w:t>
      </w:r>
      <w:proofErr w:type="spellEnd"/>
      <w:r w:rsidRPr="00A172C2">
        <w:rPr>
          <w:szCs w:val="24"/>
        </w:rPr>
        <w:t xml:space="preserve"> </w:t>
      </w:r>
      <w:proofErr w:type="gramStart"/>
      <w:r w:rsidRPr="00A172C2">
        <w:rPr>
          <w:szCs w:val="24"/>
        </w:rPr>
        <w:t xml:space="preserve">Dharma </w:t>
      </w:r>
      <w:r>
        <w:rPr>
          <w:szCs w:val="24"/>
          <w:lang w:val="id-ID"/>
        </w:rPr>
        <w:t>,</w:t>
      </w:r>
      <w:proofErr w:type="gramEnd"/>
      <w:r>
        <w:rPr>
          <w:szCs w:val="24"/>
          <w:lang w:val="id-ID"/>
        </w:rPr>
        <w:t xml:space="preserve"> </w:t>
      </w:r>
      <w:r w:rsidRPr="00A172C2">
        <w:rPr>
          <w:szCs w:val="24"/>
        </w:rPr>
        <w:t>Pontianak</w:t>
      </w:r>
      <w:r w:rsidRPr="00E73A20">
        <w:rPr>
          <w:szCs w:val="24"/>
          <w:lang w:val="en-US"/>
        </w:rPr>
        <w:t xml:space="preserve">, </w:t>
      </w:r>
      <w:r>
        <w:rPr>
          <w:szCs w:val="24"/>
          <w:lang w:val="id-ID"/>
        </w:rPr>
        <w:t>Indonesia</w:t>
      </w:r>
    </w:p>
    <w:p w14:paraId="32A257E6" w14:textId="7E65299A" w:rsidR="00714CAF" w:rsidRPr="00A172C2" w:rsidRDefault="00A172C2" w:rsidP="00764F87">
      <w:pPr>
        <w:spacing w:after="0"/>
        <w:ind w:left="0" w:right="136" w:firstLine="0"/>
        <w:jc w:val="center"/>
        <w:rPr>
          <w:bCs/>
          <w:color w:val="auto"/>
          <w:szCs w:val="24"/>
          <w:lang w:val="id-ID"/>
        </w:rPr>
      </w:pPr>
      <w:r w:rsidRPr="00A172C2">
        <w:rPr>
          <w:szCs w:val="24"/>
          <w:lang w:val="en-US"/>
        </w:rPr>
        <w:t>arif@widyadharma.ac.id</w:t>
      </w:r>
      <w:r>
        <w:rPr>
          <w:szCs w:val="24"/>
          <w:lang w:val="id-ID"/>
        </w:rPr>
        <w:t>*</w:t>
      </w:r>
    </w:p>
    <w:p w14:paraId="52AB3E15" w14:textId="77777777" w:rsidR="00CE08B6" w:rsidRPr="00A44ABB" w:rsidRDefault="00CE08B6" w:rsidP="00CE08B6">
      <w:pPr>
        <w:spacing w:after="0"/>
        <w:ind w:left="0" w:right="136" w:firstLine="0"/>
        <w:jc w:val="center"/>
        <w:rPr>
          <w:bCs/>
          <w:color w:val="0000FF"/>
          <w:szCs w:val="24"/>
          <w:u w:val="single"/>
        </w:rPr>
      </w:pP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52AB3E22" w14:textId="5171E0D6" w:rsidR="00CE08B6" w:rsidRPr="00A172C2" w:rsidRDefault="00A172C2" w:rsidP="00CE08B6">
      <w:pPr>
        <w:spacing w:after="0"/>
        <w:ind w:left="0" w:firstLine="0"/>
        <w:rPr>
          <w:lang w:val="id-ID"/>
        </w:rPr>
      </w:pPr>
      <w:r w:rsidRPr="00A172C2">
        <w:rPr>
          <w:bCs/>
          <w:iCs/>
          <w:sz w:val="20"/>
          <w:szCs w:val="20"/>
          <w:lang w:val="en-US"/>
        </w:rPr>
        <w:t>Funding decisions and dividend policy are topics that academics have massively studied. Nevertheless, this topic is still important to be investigated by considering the inconsistency of results and the crisis period in which firms are faced with high uncertainty. This study examines the two functions of financial management in shaping firm value by taking samples of all food and beverage firms in Indonesia that pay dividends consecutively for the 2016-2020 period. The test results with robust panel regression show the failure of leverage in predicting changes in firm value. Nevertheless, dividend policy still has an important role. The public seems to believe in giving firms with good financial performance signals. The test results are robust in a series of tests. As a result, this research is helpful for academics, managers, and regulators, especially in ensuring that firms are back in business</w:t>
      </w:r>
      <w:r>
        <w:rPr>
          <w:bCs/>
          <w:iCs/>
          <w:sz w:val="20"/>
          <w:szCs w:val="20"/>
          <w:lang w:val="id-ID"/>
        </w:rPr>
        <w:t>.</w:t>
      </w:r>
    </w:p>
    <w:p w14:paraId="174D116B" w14:textId="77777777" w:rsidR="00006BF0" w:rsidRDefault="00006BF0" w:rsidP="00CE08B6">
      <w:pPr>
        <w:rPr>
          <w:b/>
          <w:sz w:val="20"/>
        </w:rPr>
      </w:pPr>
    </w:p>
    <w:p w14:paraId="2085B0F1" w14:textId="77777777" w:rsidR="00A172C2" w:rsidRPr="00A172C2" w:rsidRDefault="00CE08B6" w:rsidP="00A172C2">
      <w:pPr>
        <w:rPr>
          <w:iCs/>
          <w:sz w:val="20"/>
          <w:szCs w:val="20"/>
          <w:lang w:val="en-US"/>
        </w:rPr>
      </w:pPr>
      <w:r w:rsidRPr="00436F39">
        <w:rPr>
          <w:b/>
          <w:sz w:val="20"/>
        </w:rPr>
        <w:t>Keywords:</w:t>
      </w:r>
      <w:r>
        <w:rPr>
          <w:b/>
          <w:sz w:val="20"/>
          <w:lang w:val="id-ID"/>
        </w:rPr>
        <w:t xml:space="preserve"> </w:t>
      </w:r>
      <w:r w:rsidR="00A172C2" w:rsidRPr="00A172C2">
        <w:rPr>
          <w:iCs/>
          <w:sz w:val="20"/>
          <w:szCs w:val="20"/>
          <w:lang w:val="en-US"/>
        </w:rPr>
        <w:t>funding decision, capital structure, dividend policy, firm value, emerging market.</w:t>
      </w:r>
    </w:p>
    <w:p w14:paraId="52AB3E23" w14:textId="7C5D40A3" w:rsidR="00CE08B6" w:rsidRPr="005B304F" w:rsidRDefault="00CE08B6" w:rsidP="00CE08B6">
      <w:pPr>
        <w:rPr>
          <w:lang w:val="id-ID"/>
        </w:rPr>
      </w:pP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0B97EF8E" w14:textId="77777777" w:rsidR="00A172C2" w:rsidRPr="00A172C2" w:rsidRDefault="00A172C2" w:rsidP="00A172C2">
      <w:pPr>
        <w:rPr>
          <w:lang w:val="en-US"/>
        </w:rPr>
      </w:pPr>
      <w:r w:rsidRPr="00A172C2">
        <w:rPr>
          <w:lang w:val="en-US"/>
        </w:rPr>
        <w:t xml:space="preserve">According to shareholder theory </w:t>
      </w:r>
      <w:r w:rsidRPr="00A172C2">
        <w:rPr>
          <w:lang w:val="en-US"/>
        </w:rPr>
        <w:fldChar w:fldCharType="begin"/>
      </w:r>
      <w:r w:rsidRPr="00A172C2">
        <w:rPr>
          <w:lang w:val="en-US"/>
        </w:rPr>
        <w:instrText xml:space="preserve"> ADDIN EN.CITE &lt;EndNote&gt;&lt;Cite&gt;&lt;Author&gt;Friedman&lt;/Author&gt;&lt;Year&gt;1962&lt;/Year&gt;&lt;RecNum&gt;1100&lt;/RecNum&gt;&lt;DisplayText&gt;(Friedman, 1962)&lt;/DisplayText&gt;&lt;record&gt;&lt;rec-number&gt;1100&lt;/rec-number&gt;&lt;foreign-keys&gt;&lt;key app="EN" db-id="dwz29eaxrr25scewrx6vate4td0w0xd29sae" timestamp="1636451337"&gt;1100&lt;/key&gt;&lt;/foreign-keys&gt;&lt;ref-type name="Book"&gt;6&lt;/ref-type&gt;&lt;contributors&gt;&lt;authors&gt;&lt;author&gt;Milton Friedman&lt;/author&gt;&lt;/authors&gt;&lt;/contributors&gt;&lt;titles&gt;&lt;title&gt;Capitalism and Freedom&lt;/title&gt;&lt;/titles&gt;&lt;section&gt;1-166&lt;/section&gt;&lt;dates&gt;&lt;year&gt;1962&lt;/year&gt;&lt;/dates&gt;&lt;pub-location&gt;Chicago&lt;/pub-location&gt;&lt;publisher&gt;The University of Chicago Press&lt;/publisher&gt;&lt;isbn&gt;0-226-26401-7&lt;/isbn&gt;&lt;urls&gt;&lt;related-urls&gt;&lt;url&gt;https://ia601604.us.archive.org/24/items/friedman-milton-capitalism-and-freedom/friedman-milton-capitalism-and-freedom.pdf&lt;/url&gt;&lt;/related-urls&gt;&lt;/urls&gt;&lt;/record&gt;&lt;/Cite&gt;&lt;/EndNote&gt;</w:instrText>
      </w:r>
      <w:r w:rsidRPr="00A172C2">
        <w:rPr>
          <w:lang w:val="en-US"/>
        </w:rPr>
        <w:fldChar w:fldCharType="separate"/>
      </w:r>
      <w:r w:rsidRPr="00A172C2">
        <w:rPr>
          <w:lang w:val="en-US"/>
        </w:rPr>
        <w:t>(Friedman, 1962)</w:t>
      </w:r>
      <w:r w:rsidRPr="00A172C2">
        <w:fldChar w:fldCharType="end"/>
      </w:r>
      <w:r w:rsidRPr="00A172C2">
        <w:rPr>
          <w:lang w:val="en-US"/>
        </w:rPr>
        <w:t xml:space="preserve">, management of firm finances by agents for shareholders' welfare. The prosperity of the principal, in this case, is indicated by the firm's increasing value (share price), which reflects the steady function of the firm's financial management. Management of funding sources as one of the financial management functions, in this case, is required under optimal conditions </w:t>
      </w:r>
      <w:r w:rsidRPr="00A172C2">
        <w:rPr>
          <w:lang w:val="en-US"/>
        </w:rPr>
        <w:fldChar w:fldCharType="begin"/>
      </w:r>
      <w:r w:rsidRPr="00A172C2">
        <w:rPr>
          <w:lang w:val="en-US"/>
        </w:rPr>
        <w:instrText xml:space="preserve"> ADDIN EN.CITE &lt;EndNote&gt;&lt;Cite&gt;&lt;Author&gt;Modigliani&lt;/Author&gt;&lt;Year&gt;1963&lt;/Year&gt;&lt;RecNum&gt;178&lt;/RecNum&gt;&lt;DisplayText&gt;(Modigliani &amp;amp; Miller, 1963)&lt;/DisplayText&gt;&lt;record&gt;&lt;rec-number&gt;178&lt;/rec-number&gt;&lt;foreign-keys&gt;&lt;key app="EN" db-id="dwz29eaxrr25scewrx6vate4td0w0xd29sae" timestamp="0"&gt;178&lt;/key&gt;&lt;/foreign-keys&gt;&lt;ref-type name="Journal Article"&gt;17&lt;/ref-type&gt;&lt;contributors&gt;&lt;authors&gt;&lt;author&gt;Franco Modigliani&lt;/author&gt;&lt;author&gt;Merton H. Miller&lt;/author&gt;&lt;/authors&gt;&lt;/contributors&gt;&lt;titles&gt;&lt;title&gt;Corporate Income Taxes and the Cost of Capital: A Correction&lt;/title&gt;&lt;secondary-title&gt;The American Economic Review&lt;/secondary-title&gt;&lt;/titles&gt;&lt;periodical&gt;&lt;full-title&gt;The American Economic Review&lt;/full-title&gt;&lt;/periodical&gt;&lt;pages&gt;433-443&lt;/pages&gt;&lt;volume&gt;53&lt;/volume&gt;&lt;number&gt;3&lt;/number&gt;&lt;section&gt;433&lt;/section&gt;&lt;dates&gt;&lt;year&gt;1963&lt;/year&gt;&lt;/dates&gt;&lt;urls&gt;&lt;related-urls&gt;&lt;url&gt;http://www.jstor.org/stable/1809167&lt;/url&gt;&lt;/related-urls&gt;&lt;/urls&gt;&lt;/record&gt;&lt;/Cite&gt;&lt;/EndNote&gt;</w:instrText>
      </w:r>
      <w:r w:rsidRPr="00A172C2">
        <w:rPr>
          <w:lang w:val="en-US"/>
        </w:rPr>
        <w:fldChar w:fldCharType="separate"/>
      </w:r>
      <w:r w:rsidRPr="00A172C2">
        <w:rPr>
          <w:lang w:val="en-US"/>
        </w:rPr>
        <w:t>(Modigliani &amp; Miller, 1963)</w:t>
      </w:r>
      <w:r w:rsidRPr="00A172C2">
        <w:fldChar w:fldCharType="end"/>
      </w:r>
      <w:r w:rsidRPr="00A172C2">
        <w:rPr>
          <w:lang w:val="en-US"/>
        </w:rPr>
        <w:t xml:space="preserve"> by considering the benefits and cost of capital.</w:t>
      </w:r>
    </w:p>
    <w:p w14:paraId="5ECDC72B" w14:textId="77777777" w:rsidR="00A172C2" w:rsidRPr="00A172C2" w:rsidRDefault="00A172C2" w:rsidP="00A172C2">
      <w:pPr>
        <w:rPr>
          <w:lang w:val="en-US"/>
        </w:rPr>
      </w:pPr>
      <w:r w:rsidRPr="00A172C2">
        <w:rPr>
          <w:lang w:val="en-US"/>
        </w:rPr>
        <w:t xml:space="preserve">The use of funding sources from debt should be done if internal funding is insufficient. The use of debt is preferred because the firm is faced with information inequality which causes the issuance of equity to be expensive </w:t>
      </w:r>
      <w:r w:rsidRPr="00A172C2">
        <w:rPr>
          <w:lang w:val="en-US"/>
        </w:rPr>
        <w:fldChar w:fldCharType="begin"/>
      </w:r>
      <w:r w:rsidRPr="00A172C2">
        <w:rPr>
          <w:lang w:val="en-US"/>
        </w:rPr>
        <w:instrText xml:space="preserve"> ADDIN EN.CITE &lt;EndNote&gt;&lt;Cite&gt;&lt;Author&gt;Myers&lt;/Author&gt;&lt;Year&gt;1984&lt;/Year&gt;&lt;RecNum&gt;85&lt;/RecNum&gt;&lt;DisplayText&gt;(Myers &amp;amp; Majluf, 1984)&lt;/DisplayText&gt;&lt;record&gt;&lt;rec-number&gt;85&lt;/rec-number&gt;&lt;foreign-keys&gt;&lt;key app="EN" db-id="dwz29eaxrr25scewrx6vate4td0w0xd29sae" timestamp="0"&gt;85&lt;/key&gt;&lt;/foreign-keys&gt;&lt;ref-type name="Journal Article"&gt;17&lt;/ref-type&gt;&lt;contributors&gt;&lt;authors&gt;&lt;author&gt;Stewart C. Myers&lt;/author&gt;&lt;author&gt;Nicholas S. Majluf&lt;/author&gt;&lt;/authors&gt;&lt;/contributors&gt;&lt;titles&gt;&lt;title&gt;Corporate Financing and Investment Decisions: When Firm Have Information that Investors Do Not Have&lt;/title&gt;&lt;secondary-title&gt;Journal of Financial Economics&lt;/secondary-title&gt;&lt;/titles&gt;&lt;periodical&gt;&lt;full-title&gt;Journal of Financial Economics&lt;/full-title&gt;&lt;/periodical&gt;&lt;pages&gt;187-221&lt;/pages&gt;&lt;volume&gt;13&lt;/volume&gt;&lt;section&gt;187&lt;/section&gt;&lt;dates&gt;&lt;year&gt;1984&lt;/year&gt;&lt;/dates&gt;&lt;isbn&gt;0304-405X&lt;/isbn&gt;&lt;urls&gt;&lt;related-urls&gt;&lt;url&gt;https://doi.org/10.1016/0304-405X(84)90023-0&lt;/url&gt;&lt;/related-urls&gt;&lt;/urls&gt;&lt;electronic-resource-num&gt;10.1016/0304-405X(84)90023-0&lt;/electronic-resource-num&gt;&lt;/record&gt;&lt;/Cite&gt;&lt;/EndNote&gt;</w:instrText>
      </w:r>
      <w:r w:rsidRPr="00A172C2">
        <w:rPr>
          <w:lang w:val="en-US"/>
        </w:rPr>
        <w:fldChar w:fldCharType="separate"/>
      </w:r>
      <w:r w:rsidRPr="00A172C2">
        <w:rPr>
          <w:lang w:val="en-US"/>
        </w:rPr>
        <w:t>(Myers &amp; Majluf, 1984)</w:t>
      </w:r>
      <w:r w:rsidRPr="00A172C2">
        <w:fldChar w:fldCharType="end"/>
      </w:r>
      <w:r w:rsidRPr="00A172C2">
        <w:rPr>
          <w:lang w:val="en-US"/>
        </w:rPr>
        <w:t xml:space="preserve">. The benefits of tax-deductible expenses (Modigliani &amp; Miller, 1963) are estimated to increase the firm's value </w:t>
      </w:r>
      <w:r w:rsidRPr="00A172C2">
        <w:rPr>
          <w:lang w:val="en-US"/>
        </w:rPr>
        <w:fldChar w:fldCharType="begin"/>
      </w:r>
      <w:r w:rsidRPr="00A172C2">
        <w:rPr>
          <w:lang w:val="en-US"/>
        </w:rPr>
        <w:instrText xml:space="preserve"> ADDIN EN.CITE &lt;EndNote&gt;&lt;Cite&gt;&lt;Author&gt;Nisasmara&lt;/Author&gt;&lt;Year&gt;2016&lt;/Year&gt;&lt;RecNum&gt;19&lt;/RecNum&gt;&lt;DisplayText&gt;(Nisasmara &amp;amp; Musdholifah, 2016)&lt;/DisplayText&gt;&lt;record&gt;&lt;rec-number&gt;19&lt;/rec-number&gt;&lt;foreign-keys&gt;&lt;key app="EN" db-id="pxp0tevd0eaw9fewxe85s0ded0f5vaarf95d" timestamp="1652763717"&gt;19&lt;/key&gt;&lt;/foreign-keys&gt;&lt;ref-type name="Journal Article"&gt;17&lt;/ref-type&gt;&lt;contributors&gt;&lt;authors&gt;&lt;author&gt;Prana Wahyu Nisasmara&lt;/author&gt;&lt;author&gt;Musdholifah&lt;/author&gt;&lt;/authors&gt;&lt;/contributors&gt;&lt;titles&gt;&lt;title&gt;Cash Holding, Good Corporate Governance and Firm Value&lt;/title&gt;&lt;secondary-title&gt;Jurnal Dinamika Manajemen&lt;/secondary-title&gt;&lt;/titles&gt;&lt;pages&gt;117-128&lt;/pages&gt;&lt;volume&gt;7&lt;/volume&gt;&lt;number&gt;2&lt;/number&gt;&lt;dates&gt;&lt;year&gt;2016&lt;/year&gt;&lt;/dates&gt;&lt;isbn&gt;2086-0668&amp;#xD;2337-5434&lt;/isbn&gt;&lt;urls&gt;&lt;related-urls&gt;&lt;url&gt;https://journal.unnes.ac.id/nju/index.php/jdm/article/view/8196&lt;/url&gt;&lt;/related-urls&gt;&lt;/urls&gt;&lt;/record&gt;&lt;/Cite&gt;&lt;/EndNote&gt;</w:instrText>
      </w:r>
      <w:r w:rsidRPr="00A172C2">
        <w:rPr>
          <w:lang w:val="en-US"/>
        </w:rPr>
        <w:fldChar w:fldCharType="separate"/>
      </w:r>
      <w:r w:rsidRPr="00A172C2">
        <w:rPr>
          <w:lang w:val="en-US"/>
        </w:rPr>
        <w:t>(Nisasmara &amp; Musdholifah, 2016)</w:t>
      </w:r>
      <w:r w:rsidRPr="00A172C2">
        <w:fldChar w:fldCharType="end"/>
      </w:r>
      <w:r w:rsidRPr="00A172C2">
        <w:rPr>
          <w:lang w:val="en-US"/>
        </w:rPr>
        <w:t xml:space="preserve">. However, this funding source is not always positive because this funding is also faced with risks </w:t>
      </w:r>
      <w:r w:rsidRPr="00A172C2">
        <w:rPr>
          <w:lang w:val="en-US"/>
        </w:rPr>
        <w:fldChar w:fldCharType="begin"/>
      </w:r>
      <w:r w:rsidRPr="00A172C2">
        <w:rPr>
          <w:lang w:val="en-US"/>
        </w:rPr>
        <w:instrText xml:space="preserve"> ADDIN EN.CITE &lt;EndNote&gt;&lt;Cite&gt;&lt;Author&gt;Doorasamy&lt;/Author&gt;&lt;Year&gt;2021&lt;/Year&gt;&lt;RecNum&gt;21&lt;/RecNum&gt;&lt;DisplayText&gt;(Doorasamy, 2021)&lt;/DisplayText&gt;&lt;record&gt;&lt;rec-number&gt;21&lt;/rec-number&gt;&lt;foreign-keys&gt;&lt;key app="EN" db-id="pxp0tevd0eaw9fewxe85s0ded0f5vaarf95d" timestamp="1652764737"&gt;21&lt;/key&gt;&lt;/foreign-keys&gt;&lt;ref-type name="Journal Article"&gt;17&lt;/ref-type&gt;&lt;contributors&gt;&lt;authors&gt;&lt;author&gt;Mishelle Doorasamy&lt;/author&gt;&lt;/authors&gt;&lt;/contributors&gt;&lt;titles&gt;&lt;title&gt;Capital Structure, Firm Value and Managerial Ownership: Evidence from East African Countries&lt;/title&gt;&lt;secondary-title&gt;Investment Management and Financial Innovations&lt;/secondary-title&gt;&lt;/titles&gt;&lt;pages&gt;346-356&lt;/pages&gt;&lt;volume&gt;18&lt;/volume&gt;&lt;number&gt;1&lt;/number&gt;&lt;dates&gt;&lt;year&gt;2021&lt;/year&gt;&lt;/dates&gt;&lt;isbn&gt;1810-4967&amp;#xD;1812-9358&lt;/isbn&gt;&lt;urls&gt;&lt;related-urls&gt;&lt;url&gt;http://dx.doi.org/10.21511/imfi.18(1).2021.28&lt;/url&gt;&lt;url&gt;https://www.businessperspectives.org/images/pdf/applications/publishing/templates/article/assets/14830/IMFI_2021_01_Doorasamy.pdf&lt;/url&gt;&lt;/related-urls&gt;&lt;/urls&gt;&lt;electronic-resource-num&gt;10.21511/imfi.18(1).2021.28&lt;/electronic-resource-num&gt;&lt;/record&gt;&lt;/Cite&gt;&lt;/EndNote&gt;</w:instrText>
      </w:r>
      <w:r w:rsidRPr="00A172C2">
        <w:rPr>
          <w:lang w:val="en-US"/>
        </w:rPr>
        <w:fldChar w:fldCharType="separate"/>
      </w:r>
      <w:r w:rsidRPr="00A172C2">
        <w:rPr>
          <w:lang w:val="en-US"/>
        </w:rPr>
        <w:t>(Doorasamy, 2021)</w:t>
      </w:r>
      <w:r w:rsidRPr="00A172C2">
        <w:fldChar w:fldCharType="end"/>
      </w:r>
      <w:r w:rsidRPr="00A172C2">
        <w:rPr>
          <w:lang w:val="en-US"/>
        </w:rPr>
        <w:t xml:space="preserve">. The use of debt, in this </w:t>
      </w:r>
      <w:r w:rsidRPr="00A172C2">
        <w:rPr>
          <w:lang w:val="en-US"/>
        </w:rPr>
        <w:lastRenderedPageBreak/>
        <w:t xml:space="preserve">case, does not always consistently guarantee an increase in firm value (see </w:t>
      </w:r>
      <w:r w:rsidRPr="00A172C2">
        <w:rPr>
          <w:lang w:val="en-US"/>
        </w:rPr>
        <w:fldChar w:fldCharType="begin"/>
      </w:r>
      <w:r w:rsidRPr="00A172C2">
        <w:rPr>
          <w:lang w:val="en-US"/>
        </w:rPr>
        <w:instrText xml:space="preserve"> ADDIN EN.CITE &lt;EndNote&gt;&lt;Cite&gt;&lt;Author&gt;Nurhayati&lt;/Author&gt;&lt;Year&gt;2021&lt;/Year&gt;&lt;RecNum&gt;22&lt;/RecNum&gt;&lt;DisplayText&gt;(Nurhayati, Sudiyatno, Puspitasari, &amp;amp; Basiya, 2021; Nursetya &amp;amp; Hidayati, 2020)&lt;/DisplayText&gt;&lt;record&gt;&lt;rec-number&gt;22&lt;/rec-number&gt;&lt;foreign-keys&gt;&lt;key app="EN" db-id="pxp0tevd0eaw9fewxe85s0ded0f5vaarf95d" timestamp="1652764940"&gt;22&lt;/key&gt;&lt;/foreign-keys&gt;&lt;ref-type name="Journal Article"&gt;17&lt;/ref-type&gt;&lt;contributors&gt;&lt;authors&gt;&lt;author&gt;Ida Nurhayati&lt;/author&gt;&lt;author&gt;Bambang Sudiyatno&lt;/author&gt;&lt;author&gt;Elen Puspitasari&lt;/author&gt;&lt;author&gt;Robertus Basiya&lt;/author&gt;&lt;/authors&gt;&lt;/contributors&gt;&lt;titles&gt;&lt;title&gt;Moderating Effect of Firm Performance on Firm Value: Evidence from Indonesia&lt;/title&gt;&lt;secondary-title&gt;Problems and Perspectives in Management&lt;/secondary-title&gt;&lt;/titles&gt;&lt;pages&gt;85-94&lt;/pages&gt;&lt;volume&gt;19&lt;/volume&gt;&lt;number&gt;3&lt;/number&gt;&lt;dates&gt;&lt;year&gt;2021&lt;/year&gt;&lt;/dates&gt;&lt;isbn&gt;1727-7051&amp;#xD;1810-5467&lt;/isbn&gt;&lt;urls&gt;&lt;related-urls&gt;&lt;url&gt;http://dx.doi.org/10.21511/ppm.19(3).2021.08&lt;/url&gt;&lt;/related-urls&gt;&lt;/urls&gt;&lt;electronic-resource-num&gt;10.21511/ppm.19(3).2021.08&lt;/electronic-resource-num&gt;&lt;/record&gt;&lt;/Cite&gt;&lt;Cite&gt;&lt;Author&gt;Nursetya&lt;/Author&gt;&lt;Year&gt;2020&lt;/Year&gt;&lt;RecNum&gt;23&lt;/RecNum&gt;&lt;record&gt;&lt;rec-number&gt;23&lt;/rec-number&gt;&lt;foreign-keys&gt;&lt;key app="EN" db-id="pxp0tevd0eaw9fewxe85s0ded0f5vaarf95d" timestamp="1652765251"&gt;23&lt;/key&gt;&lt;/foreign-keys&gt;&lt;ref-type name="Journal Article"&gt;17&lt;/ref-type&gt;&lt;contributors&gt;&lt;authors&gt;&lt;author&gt;Radhika Putri Nursetya&lt;/author&gt;&lt;author&gt;Lina Nur Hidayati&lt;/author&gt;&lt;/authors&gt;&lt;/contributors&gt;&lt;titles&gt;&lt;title&gt;How Does Firm Size and Capital Structure Affect Firm Value?&lt;/title&gt;&lt;secondary-title&gt;Journal of Management and Entrepreneurship Research&lt;/secondary-title&gt;&lt;/titles&gt;&lt;pages&gt;67-76&lt;/pages&gt;&lt;volume&gt;1&lt;/volume&gt;&lt;number&gt;2&lt;/number&gt;&lt;dates&gt;&lt;year&gt;2020&lt;/year&gt;&lt;/dates&gt;&lt;isbn&gt;2723-1658&amp;#xD;2723-1666&lt;/isbn&gt;&lt;urls&gt;&lt;related-urls&gt;&lt;url&gt;https://doi.org/10.34001/jmer.2020.12.01.2-7&lt;/url&gt;&lt;/related-urls&gt;&lt;/urls&gt;&lt;electronic-resource-num&gt;10.34001/jmer.2020.12.01.2-7&lt;/electronic-resource-num&gt;&lt;/record&gt;&lt;/Cite&gt;&lt;/EndNote&gt;</w:instrText>
      </w:r>
      <w:r w:rsidRPr="00A172C2">
        <w:rPr>
          <w:lang w:val="en-US"/>
        </w:rPr>
        <w:fldChar w:fldCharType="separate"/>
      </w:r>
      <w:r w:rsidRPr="00A172C2">
        <w:rPr>
          <w:lang w:val="en-US"/>
        </w:rPr>
        <w:t>(Nurhayati, Sudiyatno, Puspitasari, &amp; Basiya, 2021; Nursetya &amp; Hidayati, 2020)</w:t>
      </w:r>
      <w:r w:rsidRPr="00A172C2">
        <w:fldChar w:fldCharType="end"/>
      </w:r>
      <w:r w:rsidRPr="00A172C2">
        <w:rPr>
          <w:lang w:val="en-US"/>
        </w:rPr>
        <w:t>).</w:t>
      </w:r>
    </w:p>
    <w:p w14:paraId="175E9963" w14:textId="77777777" w:rsidR="00A172C2" w:rsidRPr="00A172C2" w:rsidRDefault="00A172C2" w:rsidP="00A172C2">
      <w:pPr>
        <w:rPr>
          <w:lang w:val="en-US"/>
        </w:rPr>
      </w:pPr>
      <w:r w:rsidRPr="00A172C2">
        <w:rPr>
          <w:lang w:val="en-US"/>
        </w:rPr>
        <w:t xml:space="preserve">This study aims to provide empirical evidence of the role of funding decisions in shaping firm value by taking dividend policy into account. The investigation was carried out on firms in Indonesia's food and beverage industry, considering that this study covers the COVID-19 period. Firms in this industry tend to be better able to survive crises. At least this research provides three main contributions. </w:t>
      </w:r>
      <w:r w:rsidRPr="00A172C2">
        <w:rPr>
          <w:i/>
          <w:iCs/>
          <w:lang w:val="en-US"/>
        </w:rPr>
        <w:t>First</w:t>
      </w:r>
      <w:r w:rsidRPr="00A172C2">
        <w:rPr>
          <w:lang w:val="en-US"/>
        </w:rPr>
        <w:t xml:space="preserve">, this research builds on the latest data involving the COVID-19 pandemic period. This period of high asymmetric information </w:t>
      </w:r>
      <w:r w:rsidRPr="00A172C2">
        <w:rPr>
          <w:lang w:val="en-US"/>
        </w:rPr>
        <w:fldChar w:fldCharType="begin"/>
      </w:r>
      <w:r w:rsidRPr="00A172C2">
        <w:rPr>
          <w:lang w:val="en-US"/>
        </w:rPr>
        <w:instrText xml:space="preserve"> ADDIN EN.CITE &lt;EndNote&gt;&lt;Cite&gt;&lt;Author&gt;Satrio&lt;/Author&gt;&lt;Year&gt;2021&lt;/Year&gt;&lt;RecNum&gt;1115&lt;/RecNum&gt;&lt;DisplayText&gt;(Satrio, 2021)&lt;/DisplayText&gt;&lt;record&gt;&lt;rec-number&gt;1115&lt;/rec-number&gt;&lt;foreign-keys&gt;&lt;key app="EN" db-id="pxp0tevd0eaw9fewxe85s0ded0f5vaarf95d" timestamp="1652773992"&gt;1115&lt;/key&gt;&lt;/foreign-keys&gt;&lt;ref-type name="Journal Article"&gt;17&lt;/ref-type&gt;&lt;contributors&gt;&lt;authors&gt;&lt;author&gt;Arif Budi Satrio&lt;/author&gt;&lt;/authors&gt;&lt;/contributors&gt;&lt;titles&gt;&lt;title&gt;Asymmetric Information and Firm Value during Pandemic COVID-19&lt;/title&gt;&lt;secondary-title&gt;Journal of Economics, Business &amp;amp; Organization Research&lt;/secondary-title&gt;&lt;/titles&gt;&lt;pages&gt;27-43&lt;/pages&gt;&lt;volume&gt;3&lt;/volume&gt;&lt;number&gt;1&lt;/number&gt;&lt;keywords&gt;&lt;keyword&gt;Asymmetric information&lt;/keyword&gt;&lt;keyword&gt;Firm value&lt;/keyword&gt;&lt;keyword&gt;Firm characteristics&lt;/keyword&gt;&lt;keyword&gt;Pandemic&lt;/keyword&gt;&lt;keyword&gt;COVID-19&lt;/keyword&gt;&lt;keyword&gt;Emerging markets&lt;/keyword&gt;&lt;/keywords&gt;&lt;dates&gt;&lt;year&gt;2021&lt;/year&gt;&lt;/dates&gt;&lt;isbn&gt;2687-5942&lt;/isbn&gt;&lt;urls&gt;&lt;related-urls&gt;&lt;url&gt;https://dergipark.org.tr/en/pub/ebor/issue/62522/930860&lt;/url&gt;&lt;/related-urls&gt;&lt;/urls&gt;&lt;/record&gt;&lt;/Cite&gt;&lt;/EndNote&gt;</w:instrText>
      </w:r>
      <w:r w:rsidRPr="00A172C2">
        <w:rPr>
          <w:lang w:val="en-US"/>
        </w:rPr>
        <w:fldChar w:fldCharType="separate"/>
      </w:r>
      <w:r w:rsidRPr="00A172C2">
        <w:rPr>
          <w:lang w:val="en-US"/>
        </w:rPr>
        <w:t>(Satrio, 2021)</w:t>
      </w:r>
      <w:r w:rsidRPr="00A172C2">
        <w:fldChar w:fldCharType="end"/>
      </w:r>
      <w:r w:rsidRPr="00A172C2">
        <w:rPr>
          <w:lang w:val="en-US"/>
        </w:rPr>
        <w:t xml:space="preserve"> is expected to clarify the role of funding in changes in firm value, especially when firms are faced with high uncertainty. </w:t>
      </w:r>
      <w:r w:rsidRPr="00A172C2">
        <w:rPr>
          <w:i/>
          <w:iCs/>
          <w:lang w:val="en-US"/>
        </w:rPr>
        <w:t>Second</w:t>
      </w:r>
      <w:r w:rsidRPr="00A172C2">
        <w:rPr>
          <w:lang w:val="en-US"/>
        </w:rPr>
        <w:t xml:space="preserve">, this study considers the signal conveyed to the public through dividend policy. Referring to signaling theory </w:t>
      </w:r>
      <w:r w:rsidRPr="00A172C2">
        <w:rPr>
          <w:lang w:val="en-US"/>
        </w:rPr>
        <w:fldChar w:fldCharType="begin"/>
      </w:r>
      <w:r w:rsidRPr="00A172C2">
        <w:rPr>
          <w:lang w:val="en-US"/>
        </w:rPr>
        <w:instrText xml:space="preserve"> ADDIN EN.CITE &lt;EndNote&gt;&lt;Cite&gt;&lt;Author&gt;Akerlof&lt;/Author&gt;&lt;Year&gt;1970&lt;/Year&gt;&lt;RecNum&gt;1306&lt;/RecNum&gt;&lt;DisplayText&gt;(Akerlof, 1970)&lt;/DisplayText&gt;&lt;record&gt;&lt;rec-number&gt;1306&lt;/rec-number&gt;&lt;foreign-keys&gt;&lt;key app="EN" db-id="pxp0tevd0eaw9fewxe85s0ded0f5vaarf95d" timestamp="1652787830"&gt;1306&lt;/key&gt;&lt;/foreign-keys&gt;&lt;ref-type name="Journal Article"&gt;17&lt;/ref-type&gt;&lt;contributors&gt;&lt;authors&gt;&lt;author&gt;George A. Akerlof&lt;/author&gt;&lt;/authors&gt;&lt;/contributors&gt;&lt;titles&gt;&lt;title&gt;The Market for &amp;quot;Lemons&amp;quot;: Quality Uncertainty and the Market Mechanism&lt;/title&gt;&lt;secondary-title&gt;The Quarterly Journal of Economics&lt;/secondary-title&gt;&lt;/titles&gt;&lt;pages&gt;488-500&lt;/pages&gt;&lt;volume&gt;84&lt;/volume&gt;&lt;number&gt;3&lt;/number&gt;&lt;dates&gt;&lt;year&gt;1970&lt;/year&gt;&lt;/dates&gt;&lt;urls&gt;&lt;related-urls&gt;&lt;url&gt;https://doi.org/10.2307/1879431&lt;/url&gt;&lt;/related-urls&gt;&lt;/urls&gt;&lt;electronic-resource-num&gt;10.2307/1879431&lt;/electronic-resource-num&gt;&lt;/record&gt;&lt;/Cite&gt;&lt;/EndNote&gt;</w:instrText>
      </w:r>
      <w:r w:rsidRPr="00A172C2">
        <w:rPr>
          <w:lang w:val="en-US"/>
        </w:rPr>
        <w:fldChar w:fldCharType="separate"/>
      </w:r>
      <w:r w:rsidRPr="00A172C2">
        <w:rPr>
          <w:lang w:val="en-US"/>
        </w:rPr>
        <w:t>(Akerlof, 1970)</w:t>
      </w:r>
      <w:r w:rsidRPr="00A172C2">
        <w:fldChar w:fldCharType="end"/>
      </w:r>
      <w:r w:rsidRPr="00A172C2">
        <w:rPr>
          <w:lang w:val="en-US"/>
        </w:rPr>
        <w:t xml:space="preserve">, dividends are essential in providing information to the uninformed public. </w:t>
      </w:r>
      <w:r w:rsidRPr="00A172C2">
        <w:rPr>
          <w:i/>
          <w:iCs/>
          <w:lang w:val="en-US"/>
        </w:rPr>
        <w:t>Third</w:t>
      </w:r>
      <w:r w:rsidRPr="00A172C2">
        <w:rPr>
          <w:lang w:val="en-US"/>
        </w:rPr>
        <w:t>, the analysis is carried out in stages by taking into account the financial reporting period, dividend distribution period, and changes in stock prices. These considerations become important to ascertain the effect of funding decisions and dividend policies on firm value.</w:t>
      </w:r>
    </w:p>
    <w:p w14:paraId="33FD3330" w14:textId="4CB202D5" w:rsidR="00621A10" w:rsidRPr="009F43DC" w:rsidRDefault="00A172C2" w:rsidP="00A172C2">
      <w:r w:rsidRPr="00A172C2">
        <w:rPr>
          <w:lang w:val="en-US"/>
        </w:rPr>
        <w:t>This article is structured as follows. The second section discusses relevant theories and empirical evidence in constructing hypotheses. Research methods and results are discussed in the third and fourth sections. Finally, the fifth section summarizes the conclusions of this study and the implications for academics and</w:t>
      </w:r>
      <w:r>
        <w:rPr>
          <w:lang w:val="en-US"/>
        </w:rPr>
        <w:t xml:space="preserve"> regulators in Indonesia</w:t>
      </w:r>
      <w:r w:rsidR="00621A10" w:rsidRPr="009F43DC">
        <w:t xml:space="preserve">. </w:t>
      </w:r>
    </w:p>
    <w:p w14:paraId="52AB3E2E" w14:textId="77777777" w:rsidR="00CE08B6" w:rsidRPr="00B51D04" w:rsidRDefault="00CE08B6" w:rsidP="00450F1B">
      <w:pPr>
        <w:ind w:left="0" w:firstLine="0"/>
      </w:pPr>
    </w:p>
    <w:p w14:paraId="52AB3E2F" w14:textId="77777777" w:rsidR="00CE08B6" w:rsidRDefault="00CE08B6" w:rsidP="00CE08B6">
      <w:pPr>
        <w:pStyle w:val="Heading1"/>
        <w:ind w:left="0"/>
        <w:rPr>
          <w:szCs w:val="32"/>
        </w:rPr>
      </w:pPr>
      <w:r w:rsidRPr="00561AE0">
        <w:rPr>
          <w:szCs w:val="32"/>
        </w:rPr>
        <w:t xml:space="preserve">2. Literature review </w:t>
      </w:r>
    </w:p>
    <w:p w14:paraId="43BEE077" w14:textId="77777777" w:rsidR="00A172C2" w:rsidRPr="00A172C2" w:rsidRDefault="00A172C2" w:rsidP="00A172C2">
      <w:pPr>
        <w:rPr>
          <w:lang w:val="en-US"/>
        </w:rPr>
      </w:pPr>
      <w:r w:rsidRPr="00A172C2">
        <w:rPr>
          <w:lang w:val="en-US"/>
        </w:rPr>
        <w:t xml:space="preserve">Managers need to maximize shareholder wealth (shareholder theory </w:t>
      </w:r>
      <w:r w:rsidRPr="00A172C2">
        <w:rPr>
          <w:lang w:val="en-US"/>
        </w:rPr>
        <w:fldChar w:fldCharType="begin"/>
      </w:r>
      <w:r w:rsidRPr="00A172C2">
        <w:rPr>
          <w:lang w:val="en-US"/>
        </w:rPr>
        <w:instrText xml:space="preserve"> ADDIN EN.CITE &lt;EndNote&gt;&lt;Cite&gt;&lt;Author&gt;Friedman&lt;/Author&gt;&lt;Year&gt;1962&lt;/Year&gt;&lt;RecNum&gt;1100&lt;/RecNum&gt;&lt;DisplayText&gt;(Friedman, 1962)&lt;/DisplayText&gt;&lt;record&gt;&lt;rec-number&gt;1100&lt;/rec-number&gt;&lt;foreign-keys&gt;&lt;key app="EN" db-id="dwz29eaxrr25scewrx6vate4td0w0xd29sae" timestamp="1636451337"&gt;1100&lt;/key&gt;&lt;/foreign-keys&gt;&lt;ref-type name="Book"&gt;6&lt;/ref-type&gt;&lt;contributors&gt;&lt;authors&gt;&lt;author&gt;Milton Friedman&lt;/author&gt;&lt;/authors&gt;&lt;/contributors&gt;&lt;titles&gt;&lt;title&gt;Capitalism and Freedom&lt;/title&gt;&lt;/titles&gt;&lt;section&gt;1-166&lt;/section&gt;&lt;dates&gt;&lt;year&gt;1962&lt;/year&gt;&lt;/dates&gt;&lt;pub-location&gt;Chicago&lt;/pub-location&gt;&lt;publisher&gt;The University of Chicago Press&lt;/publisher&gt;&lt;isbn&gt;0-226-26401-7&lt;/isbn&gt;&lt;urls&gt;&lt;related-urls&gt;&lt;url&gt;https://ia601604.us.archive.org/24/items/friedman-milton-capitalism-and-freedom/friedman-milton-capitalism-and-freedom.pdf&lt;/url&gt;&lt;/related-urls&gt;&lt;/urls&gt;&lt;/record&gt;&lt;/Cite&gt;&lt;/EndNote&gt;</w:instrText>
      </w:r>
      <w:r w:rsidRPr="00A172C2">
        <w:rPr>
          <w:lang w:val="en-US"/>
        </w:rPr>
        <w:fldChar w:fldCharType="separate"/>
      </w:r>
      <w:r w:rsidRPr="00A172C2">
        <w:rPr>
          <w:lang w:val="en-US"/>
        </w:rPr>
        <w:t>(Friedman, 1962)</w:t>
      </w:r>
      <w:r w:rsidRPr="00A172C2">
        <w:fldChar w:fldCharType="end"/>
      </w:r>
      <w:r w:rsidRPr="00A172C2">
        <w:rPr>
          <w:lang w:val="en-US"/>
        </w:rPr>
        <w:t xml:space="preserve">) because they are given trust by the principal on a contract basis (agency theory </w:t>
      </w:r>
      <w:r w:rsidRPr="00A172C2">
        <w:rPr>
          <w:lang w:val="en-US"/>
        </w:rPr>
        <w:fldChar w:fldCharType="begin"/>
      </w:r>
      <w:r w:rsidRPr="00A172C2">
        <w:rPr>
          <w:lang w:val="en-US"/>
        </w:rPr>
        <w:instrText xml:space="preserve"> ADDIN EN.CITE &lt;EndNote&gt;&lt;Cite&gt;&lt;Author&gt;Jensen&lt;/Author&gt;&lt;Year&gt;1976&lt;/Year&gt;&lt;RecNum&gt;66&lt;/RecNum&gt;&lt;DisplayText&gt;(Jensen &amp;amp; Meckling, 1976)&lt;/DisplayText&gt;&lt;record&gt;&lt;rec-number&gt;66&lt;/rec-number&gt;&lt;foreign-keys&gt;&lt;key app="EN" db-id="dwz29eaxrr25scewrx6vate4td0w0xd29sae" timestamp="0"&gt;66&lt;/key&gt;&lt;/foreign-keys&gt;&lt;ref-type name="Journal Article"&gt;17&lt;/ref-type&gt;&lt;contributors&gt;&lt;authors&gt;&lt;author&gt;Michael C. Jensen&lt;/author&gt;&lt;author&gt;William H. Meckling&lt;/author&gt;&lt;/authors&gt;&lt;/contributors&gt;&lt;titles&gt;&lt;title&gt;Theory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section&gt;305&lt;/section&gt;&lt;dates&gt;&lt;year&gt;1976&lt;/year&gt;&lt;/dates&gt;&lt;isbn&gt;0304-405X&lt;/isbn&gt;&lt;urls&gt;&lt;related-urls&gt;&lt;url&gt;https://doi.org/10.1016/0304-405X(76)90026-X&lt;/url&gt;&lt;/related-urls&gt;&lt;/urls&gt;&lt;electronic-resource-num&gt;10.1016/0304-405X(76)90026-X&lt;/electronic-resource-num&gt;&lt;/record&gt;&lt;/Cite&gt;&lt;/EndNote&gt;</w:instrText>
      </w:r>
      <w:r w:rsidRPr="00A172C2">
        <w:rPr>
          <w:lang w:val="en-US"/>
        </w:rPr>
        <w:fldChar w:fldCharType="separate"/>
      </w:r>
      <w:r w:rsidRPr="00A172C2">
        <w:rPr>
          <w:lang w:val="en-US"/>
        </w:rPr>
        <w:t>(Jensen &amp; Meckling, 1976)</w:t>
      </w:r>
      <w:r w:rsidRPr="00A172C2">
        <w:fldChar w:fldCharType="end"/>
      </w:r>
      <w:r w:rsidRPr="00A172C2">
        <w:rPr>
          <w:lang w:val="en-US"/>
        </w:rPr>
        <w:t xml:space="preserve">). However, this relationship is faced with conflict because the agent does not always act in the principal's interests (agency conflict </w:t>
      </w:r>
      <w:r w:rsidRPr="00A172C2">
        <w:rPr>
          <w:lang w:val="en-US"/>
        </w:rPr>
        <w:fldChar w:fldCharType="begin"/>
      </w:r>
      <w:r w:rsidRPr="00A172C2">
        <w:rPr>
          <w:lang w:val="en-US"/>
        </w:rPr>
        <w:instrText xml:space="preserve"> ADDIN EN.CITE &lt;EndNote&gt;&lt;Cite&gt;&lt;Author&gt;Fama&lt;/Author&gt;&lt;Year&gt;1983&lt;/Year&gt;&lt;RecNum&gt;6&lt;/RecNum&gt;&lt;DisplayText&gt;(Fama &amp;amp; Jensen, 1983)&lt;/DisplayText&gt;&lt;record&gt;&lt;rec-number&gt;6&lt;/rec-number&gt;&lt;foreign-keys&gt;&lt;key app="EN" db-id="pxp0tevd0eaw9fewxe85s0ded0f5vaarf95d" timestamp="1652755025"&gt;6&lt;/key&gt;&lt;/foreign-keys&gt;&lt;ref-type name="Journal Article"&gt;17&lt;/ref-type&gt;&lt;contributors&gt;&lt;authors&gt;&lt;author&gt;Eugene F. Fama&lt;/author&gt;&lt;author&gt;Michael C. Jensen&lt;/author&gt;&lt;/authors&gt;&lt;/contributors&gt;&lt;titles&gt;&lt;title&gt;Agency Problems and Residual Claims&lt;/title&gt;&lt;secondary-title&gt;Journal of Law &amp;amp; Economics&lt;/secondary-title&gt;&lt;/titles&gt;&lt;pages&gt;327-349&lt;/pages&gt;&lt;volume&gt;26&lt;/volume&gt;&lt;number&gt;2&lt;/number&gt;&lt;dates&gt;&lt;year&gt;1983&lt;/year&gt;&lt;/dates&gt;&lt;urls&gt;&lt;related-urls&gt;&lt;url&gt;https://doi.org/10.1086/467038&lt;/url&gt;&lt;/related-urls&gt;&lt;/urls&gt;&lt;electronic-resource-num&gt;10.1086/467038&lt;/electronic-resource-num&gt;&lt;/record&gt;&lt;/Cite&gt;&lt;/EndNote&gt;</w:instrText>
      </w:r>
      <w:r w:rsidRPr="00A172C2">
        <w:rPr>
          <w:lang w:val="en-US"/>
        </w:rPr>
        <w:fldChar w:fldCharType="separate"/>
      </w:r>
      <w:r w:rsidRPr="00A172C2">
        <w:rPr>
          <w:lang w:val="en-US"/>
        </w:rPr>
        <w:t>(Fama &amp; Jensen, 1983)</w:t>
      </w:r>
      <w:r w:rsidRPr="00A172C2">
        <w:fldChar w:fldCharType="end"/>
      </w:r>
      <w:r w:rsidRPr="00A172C2">
        <w:rPr>
          <w:lang w:val="en-US"/>
        </w:rPr>
        <w:t xml:space="preserve">). This conflict is inevitable because agents as human beings have self-interest, bounded rationality, and risk aversion </w:t>
      </w:r>
      <w:r w:rsidRPr="00A172C2">
        <w:rPr>
          <w:lang w:val="en-US"/>
        </w:rPr>
        <w:fldChar w:fldCharType="begin"/>
      </w:r>
      <w:r w:rsidRPr="00A172C2">
        <w:rPr>
          <w:lang w:val="en-US"/>
        </w:rPr>
        <w:instrText xml:space="preserve"> ADDIN EN.CITE &lt;EndNote&gt;&lt;Cite&gt;&lt;Author&gt;Eisenhardt&lt;/Author&gt;&lt;Year&gt;1989&lt;/Year&gt;&lt;RecNum&gt;50&lt;/RecNum&gt;&lt;DisplayText&gt;(Eisenhardt, 1989)&lt;/DisplayText&gt;&lt;record&gt;&lt;rec-number&gt;50&lt;/rec-number&gt;&lt;foreign-keys&gt;&lt;key app="EN" db-id="dwz29eaxrr25scewrx6vate4td0w0xd29sae" timestamp="0"&gt;50&lt;/key&gt;&lt;/foreign-keys&gt;&lt;ref-type name="Journal Article"&gt;17&lt;/ref-type&gt;&lt;contributors&gt;&lt;authors&gt;&lt;author&gt;Kathleen M. Eisenhardt&lt;/author&gt;&lt;/authors&gt;&lt;/contributors&gt;&lt;titles&gt;&lt;title&gt;Agency Theory: An Assessment and Review&lt;/title&gt;&lt;secondary-title&gt;The Academy of Management Review&lt;/secondary-title&gt;&lt;/titles&gt;&lt;periodical&gt;&lt;full-title&gt;The Academy of Management Review&lt;/full-title&gt;&lt;/periodical&gt;&lt;pages&gt;57-74&lt;/pages&gt;&lt;volume&gt;14&lt;/volume&gt;&lt;number&gt;1&lt;/number&gt;&lt;section&gt;57&lt;/section&gt;&lt;dates&gt;&lt;year&gt;1989&lt;/year&gt;&lt;/dates&gt;&lt;urls&gt;&lt;related-urls&gt;&lt;url&gt;https://doi.org/10.2307/258191&lt;/url&gt;&lt;/related-urls&gt;&lt;/urls&gt;&lt;electronic-resource-num&gt;10.2307/258191&lt;/electronic-resource-num&gt;&lt;/record&gt;&lt;/Cite&gt;&lt;/EndNote&gt;</w:instrText>
      </w:r>
      <w:r w:rsidRPr="00A172C2">
        <w:rPr>
          <w:lang w:val="en-US"/>
        </w:rPr>
        <w:fldChar w:fldCharType="separate"/>
      </w:r>
      <w:r w:rsidRPr="00A172C2">
        <w:rPr>
          <w:lang w:val="en-US"/>
        </w:rPr>
        <w:t>(Eisenhardt, 1989)</w:t>
      </w:r>
      <w:r w:rsidRPr="00A172C2">
        <w:fldChar w:fldCharType="end"/>
      </w:r>
      <w:r w:rsidRPr="00A172C2">
        <w:rPr>
          <w:lang w:val="en-US"/>
        </w:rPr>
        <w:t>.</w:t>
      </w:r>
    </w:p>
    <w:p w14:paraId="0CB605C8" w14:textId="77777777" w:rsidR="00A172C2" w:rsidRPr="00A172C2" w:rsidRDefault="00A172C2" w:rsidP="00A172C2">
      <w:pPr>
        <w:rPr>
          <w:lang w:val="en-US"/>
        </w:rPr>
      </w:pPr>
      <w:r w:rsidRPr="00A172C2">
        <w:rPr>
          <w:lang w:val="en-US"/>
        </w:rPr>
        <w:t xml:space="preserve">In order to mitigate the conflict of interest between the two parties (agency conflict type I), good corporate governance is required. The use of debt is one of the steps that can be taken because it increases monitoring by external parties </w:t>
      </w:r>
      <w:r w:rsidRPr="00A172C2">
        <w:rPr>
          <w:lang w:val="en-US"/>
        </w:rPr>
        <w:fldChar w:fldCharType="begin"/>
      </w:r>
      <w:r w:rsidRPr="00A172C2">
        <w:rPr>
          <w:lang w:val="en-US"/>
        </w:rPr>
        <w:instrText xml:space="preserve"> ADDIN EN.CITE &lt;EndNote&gt;&lt;Cite&gt;&lt;Author&gt;Ganguli&lt;/Author&gt;&lt;Year&gt;2013&lt;/Year&gt;&lt;RecNum&gt;174&lt;/RecNum&gt;&lt;DisplayText&gt;(Ganguli, 2013)&lt;/DisplayText&gt;&lt;record&gt;&lt;rec-number&gt;174&lt;/rec-number&gt;&lt;foreign-keys&gt;&lt;key app="EN" db-id="dwz29eaxrr25scewrx6vate4td0w0xd29sae" timestamp="0"&gt;174&lt;/key&gt;&lt;/foreign-keys&gt;&lt;ref-type name="Journal Article"&gt;17&lt;/ref-type&gt;&lt;contributors&gt;&lt;authors&gt;&lt;author&gt;Santanu K. Ganguli&lt;/author&gt;&lt;/authors&gt;&lt;/contributors&gt;&lt;titles&gt;&lt;title&gt;Capital Structure: Does Ownership Structure Matter? Theory and Indian Evidence&lt;/title&gt;&lt;secondary-title&gt;Studies in Economics and Finance&lt;/secondary-title&gt;&lt;/titles&gt;&lt;periodical&gt;&lt;full-title&gt;Studies in Economics and Finance&lt;/full-title&gt;&lt;/periodical&gt;&lt;pages&gt;56-72&lt;/pages&gt;&lt;volume&gt;30&lt;/volume&gt;&lt;number&gt;1&lt;/number&gt;&lt;section&gt;56&lt;/section&gt;&lt;keywords&gt;&lt;keyword&gt;India, Corporate ownership, Capital structure, Ownership structure, Agency theory,&lt;/keyword&gt;&lt;keyword&gt;Concentrated shareholding, Diffused shareholding, Entrenched manager&lt;/keyword&gt;&lt;/keywords&gt;&lt;dates&gt;&lt;year&gt;2013&lt;/year&gt;&lt;/dates&gt;&lt;isbn&gt;1086-7376&lt;/isbn&gt;&lt;urls&gt;&lt;related-urls&gt;&lt;url&gt;http://www.emeraldinsight.com/doi/pdfplus/10.1108/10867371311300982&lt;/url&gt;&lt;/related-urls&gt;&lt;/urls&gt;&lt;electronic-resource-num&gt;10.1108/10867371311300982&lt;/electronic-resource-num&gt;&lt;language&gt;English&lt;/language&gt;&lt;/record&gt;&lt;/Cite&gt;&lt;/EndNote&gt;</w:instrText>
      </w:r>
      <w:r w:rsidRPr="00A172C2">
        <w:rPr>
          <w:lang w:val="en-US"/>
        </w:rPr>
        <w:fldChar w:fldCharType="separate"/>
      </w:r>
      <w:r w:rsidRPr="00A172C2">
        <w:rPr>
          <w:lang w:val="en-US"/>
        </w:rPr>
        <w:t>(Ganguli, 2013)</w:t>
      </w:r>
      <w:r w:rsidRPr="00A172C2">
        <w:fldChar w:fldCharType="end"/>
      </w:r>
      <w:r w:rsidRPr="00A172C2">
        <w:rPr>
          <w:lang w:val="en-US"/>
        </w:rPr>
        <w:t xml:space="preserve">. In addition to these benefits, the management of this funding is important because it has benefits in improving financial performance </w:t>
      </w:r>
      <w:r w:rsidRPr="00A172C2">
        <w:rPr>
          <w:lang w:val="en-US"/>
        </w:rPr>
        <w:fldChar w:fldCharType="begin"/>
      </w:r>
      <w:r w:rsidRPr="00A172C2">
        <w:rPr>
          <w:lang w:val="en-US"/>
        </w:rPr>
        <w:instrText xml:space="preserve"> ADDIN EN.CITE &lt;EndNote&gt;&lt;Cite&gt;&lt;Author&gt;Modigliani&lt;/Author&gt;&lt;Year&gt;1963&lt;/Year&gt;&lt;RecNum&gt;178&lt;/RecNum&gt;&lt;DisplayText&gt;(Modigliani &amp;amp; Miller, 1963)&lt;/DisplayText&gt;&lt;record&gt;&lt;rec-number&gt;178&lt;/rec-number&gt;&lt;foreign-keys&gt;&lt;key app="EN" db-id="dwz29eaxrr25scewrx6vate4td0w0xd29sae" timestamp="0"&gt;178&lt;/key&gt;&lt;/foreign-keys&gt;&lt;ref-type name="Journal Article"&gt;17&lt;/ref-type&gt;&lt;contributors&gt;&lt;authors&gt;&lt;author&gt;Franco Modigliani&lt;/author&gt;&lt;author&gt;Merton H. Miller&lt;/author&gt;&lt;/authors&gt;&lt;/contributors&gt;&lt;titles&gt;&lt;title&gt;Corporate Income Taxes and the Cost of Capital: A Correction&lt;/title&gt;&lt;secondary-title&gt;The American Economic Review&lt;/secondary-title&gt;&lt;/titles&gt;&lt;periodical&gt;&lt;full-title&gt;The American Economic Review&lt;/full-title&gt;&lt;/periodical&gt;&lt;pages&gt;433-443&lt;/pages&gt;&lt;volume&gt;53&lt;/volume&gt;&lt;number&gt;3&lt;/number&gt;&lt;section&gt;433&lt;/section&gt;&lt;dates&gt;&lt;year&gt;1963&lt;/year&gt;&lt;/dates&gt;&lt;urls&gt;&lt;related-urls&gt;&lt;url&gt;http://www.jstor.org/stable/1809167&lt;/url&gt;&lt;/related-urls&gt;&lt;/urls&gt;&lt;/record&gt;&lt;/Cite&gt;&lt;/EndNote&gt;</w:instrText>
      </w:r>
      <w:r w:rsidRPr="00A172C2">
        <w:rPr>
          <w:lang w:val="en-US"/>
        </w:rPr>
        <w:fldChar w:fldCharType="separate"/>
      </w:r>
      <w:r w:rsidRPr="00A172C2">
        <w:rPr>
          <w:lang w:val="en-US"/>
        </w:rPr>
        <w:t>(Modigliani &amp; Miller, 1963)</w:t>
      </w:r>
      <w:r w:rsidRPr="00A172C2">
        <w:fldChar w:fldCharType="end"/>
      </w:r>
      <w:r w:rsidRPr="00A172C2">
        <w:rPr>
          <w:lang w:val="en-US"/>
        </w:rPr>
        <w:t xml:space="preserve">. Stable financial performance can be achieved if the debt is managed optimally, which maximizes benefits in the form of tax savings (tax shield) and minimizes bankruptcy costs (bankruptcy costs) </w:t>
      </w:r>
      <w:r w:rsidRPr="00A172C2">
        <w:rPr>
          <w:lang w:val="en-US"/>
        </w:rPr>
        <w:fldChar w:fldCharType="begin"/>
      </w:r>
      <w:r w:rsidRPr="00A172C2">
        <w:rPr>
          <w:lang w:val="en-US"/>
        </w:rPr>
        <w:instrText xml:space="preserve"> ADDIN EN.CITE &lt;EndNote&gt;&lt;Cite&gt;&lt;Author&gt;Myers&lt;/Author&gt;&lt;Year&gt;2001&lt;/Year&gt;&lt;RecNum&gt;13&lt;/RecNum&gt;&lt;DisplayText&gt;(Myers, 2001)&lt;/DisplayText&gt;&lt;record&gt;&lt;rec-number&gt;13&lt;/rec-number&gt;&lt;foreign-keys&gt;&lt;key app="EN" db-id="pxp0tevd0eaw9fewxe85s0ded0f5vaarf95d" timestamp="1652757601"&gt;13&lt;/key&gt;&lt;/foreign-keys&gt;&lt;ref-type name="Journal Article"&gt;17&lt;/ref-type&gt;&lt;contributors&gt;&lt;authors&gt;&lt;author&gt;Stewart C. Myers&lt;/author&gt;&lt;/authors&gt;&lt;/contributors&gt;&lt;titles&gt;&lt;title&gt;Capital Structure&lt;/title&gt;&lt;secondary-title&gt;Journal of Economic Perspectives&lt;/secondary-title&gt;&lt;/titles&gt;&lt;pages&gt;81-102&lt;/pages&gt;&lt;volume&gt;15&lt;/volume&gt;&lt;number&gt;2&lt;/number&gt;&lt;dates&gt;&lt;year&gt;2001&lt;/year&gt;&lt;/dates&gt;&lt;urls&gt;&lt;related-urls&gt;&lt;url&gt;&lt;style face="normal" font="default" size="12"&gt;https://doi.org/&lt;/style&gt;&lt;style face="normal" font="default" size="100%"&gt;10.1257/jep.15.2.81&lt;/style&gt;&lt;/url&gt;&lt;/related-urls&gt;&lt;/urls&gt;&lt;electronic-resource-num&gt;10.1257/jep.15.2.81&lt;/electronic-resource-num&gt;&lt;/record&gt;&lt;/Cite&gt;&lt;/EndNote&gt;</w:instrText>
      </w:r>
      <w:r w:rsidRPr="00A172C2">
        <w:rPr>
          <w:lang w:val="en-US"/>
        </w:rPr>
        <w:fldChar w:fldCharType="separate"/>
      </w:r>
      <w:r w:rsidRPr="00A172C2">
        <w:rPr>
          <w:lang w:val="en-US"/>
        </w:rPr>
        <w:t>(Myers, 2001)</w:t>
      </w:r>
      <w:r w:rsidRPr="00A172C2">
        <w:fldChar w:fldCharType="end"/>
      </w:r>
      <w:r w:rsidRPr="00A172C2">
        <w:rPr>
          <w:lang w:val="en-US"/>
        </w:rPr>
        <w:t>.</w:t>
      </w:r>
    </w:p>
    <w:p w14:paraId="3E08873F" w14:textId="77777777" w:rsidR="00A172C2" w:rsidRPr="00A172C2" w:rsidRDefault="00A172C2" w:rsidP="00A172C2">
      <w:pPr>
        <w:rPr>
          <w:lang w:val="en-US"/>
        </w:rPr>
      </w:pPr>
      <w:r w:rsidRPr="00A172C2">
        <w:rPr>
          <w:lang w:val="en-US"/>
        </w:rPr>
        <w:t xml:space="preserve">The big question is whether using higher debt can lead to an increase in firm value? Modigliani and Miller (MM) is the earliest capital structure theory which states that the capital structure is irrelevant </w:t>
      </w:r>
      <w:r w:rsidRPr="00A172C2">
        <w:rPr>
          <w:lang w:val="en-US"/>
        </w:rPr>
        <w:fldChar w:fldCharType="begin"/>
      </w:r>
      <w:r w:rsidRPr="00A172C2">
        <w:rPr>
          <w:lang w:val="en-US"/>
        </w:rPr>
        <w:instrText xml:space="preserve"> ADDIN EN.CITE &lt;EndNote&gt;&lt;Cite&gt;&lt;Author&gt;Modigliani&lt;/Author&gt;&lt;Year&gt;1958&lt;/Year&gt;&lt;RecNum&gt;80&lt;/RecNum&gt;&lt;DisplayText&gt;(Modigliani &amp;amp; Miller, 1958)&lt;/DisplayText&gt;&lt;record&gt;&lt;rec-number&gt;80&lt;/rec-number&gt;&lt;foreign-keys&gt;&lt;key app="EN" db-id="dwz29eaxrr25scewrx6vate4td0w0xd29sae" timestamp="0"&gt;80&lt;/key&gt;&lt;/foreign-keys&gt;&lt;ref-type name="Journal Article"&gt;17&lt;/ref-type&gt;&lt;contributors&gt;&lt;authors&gt;&lt;author&gt;Franco Modigliani&lt;/author&gt;&lt;author&gt;Merton H. Miller&lt;/author&gt;&lt;/authors&gt;&lt;/contributors&gt;&lt;titles&gt;&lt;title&gt;The Cost of Capital, Corporation Finance, and the Theory of Investment&lt;/title&gt;&lt;secondary-title&gt;The American Economic Review&lt;/secondary-title&gt;&lt;/titles&gt;&lt;periodical&gt;&lt;full-title&gt;The American Economic Review&lt;/full-title&gt;&lt;/periodical&gt;&lt;pages&gt;261-297&lt;/pages&gt;&lt;volume&gt;48&lt;/volume&gt;&lt;number&gt;3&lt;/number&gt;&lt;section&gt;261&lt;/section&gt;&lt;dates&gt;&lt;year&gt;1958&lt;/year&gt;&lt;/dates&gt;&lt;urls&gt;&lt;/urls&gt;&lt;/record&gt;&lt;/Cite&gt;&lt;/EndNote&gt;</w:instrText>
      </w:r>
      <w:r w:rsidRPr="00A172C2">
        <w:rPr>
          <w:lang w:val="en-US"/>
        </w:rPr>
        <w:fldChar w:fldCharType="separate"/>
      </w:r>
      <w:r w:rsidRPr="00A172C2">
        <w:rPr>
          <w:lang w:val="en-US"/>
        </w:rPr>
        <w:t>(Modigliani &amp; Miller, 1958)</w:t>
      </w:r>
      <w:r w:rsidRPr="00A172C2">
        <w:fldChar w:fldCharType="end"/>
      </w:r>
      <w:r w:rsidRPr="00A172C2">
        <w:rPr>
          <w:lang w:val="en-US"/>
        </w:rPr>
        <w:t xml:space="preserve">). This theory does not agree on the relationship between the use of debt and firm value. However, with tax considerations from the use of debt, there should be a relationship between debt and the firm's financial performance </w:t>
      </w:r>
      <w:r w:rsidRPr="00A172C2">
        <w:rPr>
          <w:lang w:val="en-US"/>
        </w:rPr>
        <w:fldChar w:fldCharType="begin"/>
      </w:r>
      <w:r w:rsidRPr="00A172C2">
        <w:rPr>
          <w:lang w:val="en-US"/>
        </w:rPr>
        <w:instrText xml:space="preserve"> ADDIN EN.CITE &lt;EndNote&gt;&lt;Cite&gt;&lt;Author&gt;Modigliani&lt;/Author&gt;&lt;Year&gt;1963&lt;/Year&gt;&lt;RecNum&gt;178&lt;/RecNum&gt;&lt;DisplayText&gt;(Modigliani &amp;amp; Miller, 1963)&lt;/DisplayText&gt;&lt;record&gt;&lt;rec-number&gt;178&lt;/rec-number&gt;&lt;foreign-keys&gt;&lt;key app="EN" db-id="dwz29eaxrr25scewrx6vate4td0w0xd29sae" timestamp="0"&gt;178&lt;/key&gt;&lt;/foreign-keys&gt;&lt;ref-type name="Journal Article"&gt;17&lt;/ref-type&gt;&lt;contributors&gt;&lt;authors&gt;&lt;author&gt;Franco Modigliani&lt;/author&gt;&lt;author&gt;Merton H. Miller&lt;/author&gt;&lt;/authors&gt;&lt;/contributors&gt;&lt;titles&gt;&lt;title&gt;Corporate Income Taxes and the Cost of Capital: A Correction&lt;/title&gt;&lt;secondary-title&gt;The American Economic Review&lt;/secondary-title&gt;&lt;/titles&gt;&lt;periodical&gt;&lt;full-title&gt;The American Economic Review&lt;/full-title&gt;&lt;/periodical&gt;&lt;pages&gt;433-443&lt;/pages&gt;&lt;volume&gt;53&lt;/volume&gt;&lt;number&gt;3&lt;/number&gt;&lt;section&gt;433&lt;/section&gt;&lt;dates&gt;&lt;year&gt;1963&lt;/year&gt;&lt;/dates&gt;&lt;urls&gt;&lt;related-urls&gt;&lt;url&gt;http://www.jstor.org/stable/1809167&lt;/url&gt;&lt;/related-urls&gt;&lt;/urls&gt;&lt;/record&gt;&lt;/Cite&gt;&lt;/EndNote&gt;</w:instrText>
      </w:r>
      <w:r w:rsidRPr="00A172C2">
        <w:rPr>
          <w:lang w:val="en-US"/>
        </w:rPr>
        <w:fldChar w:fldCharType="separate"/>
      </w:r>
      <w:r w:rsidRPr="00A172C2">
        <w:rPr>
          <w:lang w:val="en-US"/>
        </w:rPr>
        <w:t>(Modigliani &amp; Miller, 1963)</w:t>
      </w:r>
      <w:r w:rsidRPr="00A172C2">
        <w:fldChar w:fldCharType="end"/>
      </w:r>
      <w:r w:rsidRPr="00A172C2">
        <w:rPr>
          <w:lang w:val="en-US"/>
        </w:rPr>
        <w:t xml:space="preserve">. There is empirical evidence that supports MM's argument after calculating this tax </w:t>
      </w:r>
      <w:r w:rsidRPr="00A172C2">
        <w:rPr>
          <w:lang w:val="en-US"/>
        </w:rPr>
        <w:fldChar w:fldCharType="begin"/>
      </w:r>
      <w:r w:rsidRPr="00A172C2">
        <w:rPr>
          <w:lang w:val="en-US"/>
        </w:rPr>
        <w:instrText xml:space="preserve"> ADDIN EN.CITE &lt;EndNote&gt;&lt;Cite&gt;&lt;Author&gt;Nisasmara&lt;/Author&gt;&lt;Year&gt;2016&lt;/Year&gt;&lt;RecNum&gt;19&lt;/RecNum&gt;&lt;DisplayText&gt;(Nisasmara &amp;amp; Musdholifah, 2016)&lt;/DisplayText&gt;&lt;record&gt;&lt;rec-number&gt;19&lt;/rec-number&gt;&lt;foreign-keys&gt;&lt;key app="EN" db-id="pxp0tevd0eaw9fewxe85s0ded0f5vaarf95d" timestamp="1652763717"&gt;19&lt;/key&gt;&lt;/foreign-keys&gt;&lt;ref-type name="Journal Article"&gt;17&lt;/ref-type&gt;&lt;contributors&gt;&lt;authors&gt;&lt;author&gt;Prana Wahyu Nisasmara&lt;/author&gt;&lt;author&gt;Musdholifah&lt;/author&gt;&lt;/authors&gt;&lt;/contributors&gt;&lt;titles&gt;&lt;title&gt;Cash Holding, Good Corporate Governance and Firm Value&lt;/title&gt;&lt;secondary-title&gt;Jurnal Dinamika Manajemen&lt;/secondary-title&gt;&lt;/titles&gt;&lt;pages&gt;117-128&lt;/pages&gt;&lt;volume&gt;7&lt;/volume&gt;&lt;number&gt;2&lt;/number&gt;&lt;dates&gt;&lt;year&gt;2016&lt;/year&gt;&lt;/dates&gt;&lt;isbn&gt;2086-0668&amp;#xD;2337-5434&lt;/isbn&gt;&lt;urls&gt;&lt;related-urls&gt;&lt;url&gt;https://journal.unnes.ac.id/nju/index.php/jdm/article/view/8196&lt;/url&gt;&lt;/related-urls&gt;&lt;/urls&gt;&lt;/record&gt;&lt;/Cite&gt;&lt;/EndNote&gt;</w:instrText>
      </w:r>
      <w:r w:rsidRPr="00A172C2">
        <w:rPr>
          <w:lang w:val="en-US"/>
        </w:rPr>
        <w:fldChar w:fldCharType="separate"/>
      </w:r>
      <w:r w:rsidRPr="00A172C2">
        <w:rPr>
          <w:lang w:val="en-US"/>
        </w:rPr>
        <w:t>(Nisasmara &amp; Musdholifah, 2016)</w:t>
      </w:r>
      <w:r w:rsidRPr="00A172C2">
        <w:fldChar w:fldCharType="end"/>
      </w:r>
      <w:r w:rsidRPr="00A172C2">
        <w:rPr>
          <w:lang w:val="en-US"/>
        </w:rPr>
        <w:t xml:space="preserve">, but there are academics </w:t>
      </w:r>
      <w:r w:rsidRPr="00A172C2">
        <w:rPr>
          <w:lang w:val="en-US"/>
        </w:rPr>
        <w:lastRenderedPageBreak/>
        <w:t xml:space="preserve">who argue against this relationship (see </w:t>
      </w:r>
      <w:r w:rsidRPr="00A172C2">
        <w:rPr>
          <w:lang w:val="en-US"/>
        </w:rPr>
        <w:fldChar w:fldCharType="begin">
          <w:fldData xml:space="preserve">PEVuZE5vdGU+PENpdGU+PEF1dGhvcj5Eb29yYXNhbXk8L0F1dGhvcj48WWVhcj4yMDIxPC9ZZWFy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</w:fldData>
        </w:fldChar>
      </w:r>
      <w:r w:rsidRPr="00A172C2">
        <w:rPr>
          <w:lang w:val="en-US"/>
        </w:rPr>
        <w:instrText xml:space="preserve"> ADDIN EN.CITE </w:instrText>
      </w:r>
      <w:r w:rsidRPr="00A172C2">
        <w:rPr>
          <w:lang w:val="en-US"/>
        </w:rPr>
        <w:fldChar w:fldCharType="begin">
          <w:fldData xml:space="preserve">PEVuZE5vdGU+PENpdGU+PEF1dGhvcj5Eb29yYXNhbXk8L0F1dGhvcj48WWVhcj4yMDIxPC9ZZWFy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</w:fldData>
        </w:fldChar>
      </w:r>
      <w:r w:rsidRPr="00A172C2">
        <w:rPr>
          <w:lang w:val="en-US"/>
        </w:rPr>
        <w:instrText xml:space="preserve"> ADDIN EN.CITE.DATA </w:instrText>
      </w:r>
      <w:r w:rsidRPr="00A172C2">
        <w:fldChar w:fldCharType="end"/>
      </w:r>
      <w:r w:rsidRPr="00A172C2">
        <w:rPr>
          <w:lang w:val="en-US"/>
        </w:rPr>
      </w:r>
      <w:r w:rsidRPr="00A172C2">
        <w:rPr>
          <w:lang w:val="en-US"/>
        </w:rPr>
        <w:fldChar w:fldCharType="separate"/>
      </w:r>
      <w:r w:rsidRPr="00A172C2">
        <w:rPr>
          <w:lang w:val="en-US"/>
        </w:rPr>
        <w:t>(Doorasamy, 2021; Nurhayati et al., 2021; Nursetya &amp; Hidayati, 2020)</w:t>
      </w:r>
      <w:r w:rsidRPr="00A172C2">
        <w:fldChar w:fldCharType="end"/>
      </w:r>
      <w:r w:rsidRPr="00A172C2">
        <w:rPr>
          <w:lang w:val="en-US"/>
        </w:rPr>
        <w:t>). The amount of use of debt has a high risk and will impact the financial burden borne by the firm. As a result, investors will judge the firm has poor performance.</w:t>
      </w:r>
    </w:p>
    <w:p w14:paraId="68396190" w14:textId="77777777" w:rsidR="00A172C2" w:rsidRPr="00A172C2" w:rsidRDefault="00A172C2" w:rsidP="00A172C2">
      <w:pPr>
        <w:rPr>
          <w:lang w:val="en-US"/>
        </w:rPr>
      </w:pPr>
      <w:r w:rsidRPr="00A172C2">
        <w:rPr>
          <w:lang w:val="en-US"/>
        </w:rPr>
        <w:t>By considering the benefits and risks arising from the use of debt as well as previous empirical evidence, the first hypothesis of this study is:</w:t>
      </w:r>
    </w:p>
    <w:p w14:paraId="7C60BDCE" w14:textId="77777777" w:rsidR="00A172C2" w:rsidRPr="00A172C2" w:rsidRDefault="00A172C2" w:rsidP="00A172C2">
      <w:pPr>
        <w:rPr>
          <w:lang w:val="en-US"/>
        </w:rPr>
      </w:pPr>
      <w:r w:rsidRPr="00A172C2">
        <w:rPr>
          <w:lang w:val="en-US"/>
        </w:rPr>
        <w:t>H</w:t>
      </w:r>
      <w:r w:rsidRPr="00A172C2">
        <w:rPr>
          <w:vertAlign w:val="subscript"/>
          <w:lang w:val="en-US"/>
        </w:rPr>
        <w:t>1</w:t>
      </w:r>
      <w:r w:rsidRPr="00A172C2">
        <w:rPr>
          <w:lang w:val="en-US"/>
        </w:rPr>
        <w:t>: Funding decisions have no impact on changes in firm value.</w:t>
      </w:r>
    </w:p>
    <w:p w14:paraId="265E88A4" w14:textId="77777777" w:rsidR="00A172C2" w:rsidRPr="00A172C2" w:rsidRDefault="00A172C2" w:rsidP="00A172C2">
      <w:pPr>
        <w:rPr>
          <w:lang w:val="en-US"/>
        </w:rPr>
      </w:pPr>
      <w:r w:rsidRPr="00A172C2">
        <w:rPr>
          <w:lang w:val="en-US"/>
        </w:rPr>
        <w:t xml:space="preserve">The existence of information inequality between the firm's internal and external parties </w:t>
      </w:r>
      <w:r w:rsidRPr="00A172C2">
        <w:rPr>
          <w:lang w:val="en-US"/>
        </w:rPr>
        <w:fldChar w:fldCharType="begin"/>
      </w:r>
      <w:r w:rsidRPr="00A172C2">
        <w:rPr>
          <w:lang w:val="en-US"/>
        </w:rPr>
        <w:instrText xml:space="preserve"> ADDIN EN.CITE &lt;EndNote&gt;&lt;Cite&gt;&lt;Author&gt;Myers&lt;/Author&gt;&lt;Year&gt;1984&lt;/Year&gt;&lt;RecNum&gt;85&lt;/RecNum&gt;&lt;DisplayText&gt;(Myers &amp;amp; Majluf, 1984)&lt;/DisplayText&gt;&lt;record&gt;&lt;rec-number&gt;85&lt;/rec-number&gt;&lt;foreign-keys&gt;&lt;key app="EN" db-id="dwz29eaxrr25scewrx6vate4td0w0xd29sae" timestamp="0"&gt;85&lt;/key&gt;&lt;/foreign-keys&gt;&lt;ref-type name="Journal Article"&gt;17&lt;/ref-type&gt;&lt;contributors&gt;&lt;authors&gt;&lt;author&gt;Stewart C. Myers&lt;/author&gt;&lt;author&gt;Nicholas S. Majluf&lt;/author&gt;&lt;/authors&gt;&lt;/contributors&gt;&lt;titles&gt;&lt;title&gt;Corporate Financing and Investment Decisions: When Firm Have Information that Investors Do Not Have&lt;/title&gt;&lt;secondary-title&gt;Journal of Financial Economics&lt;/secondary-title&gt;&lt;/titles&gt;&lt;periodical&gt;&lt;full-title&gt;Journal of Financial Economics&lt;/full-title&gt;&lt;/periodical&gt;&lt;pages&gt;187-221&lt;/pages&gt;&lt;volume&gt;13&lt;/volume&gt;&lt;section&gt;187&lt;/section&gt;&lt;dates&gt;&lt;year&gt;1984&lt;/year&gt;&lt;/dates&gt;&lt;isbn&gt;0304-405X&lt;/isbn&gt;&lt;urls&gt;&lt;related-urls&gt;&lt;url&gt;https://doi.org/10.1016/0304-405X(84)90023-0&lt;/url&gt;&lt;/related-urls&gt;&lt;/urls&gt;&lt;electronic-resource-num&gt;10.1016/0304-405X(84)90023-0&lt;/electronic-resource-num&gt;&lt;/record&gt;&lt;/Cite&gt;&lt;/EndNote&gt;</w:instrText>
      </w:r>
      <w:r w:rsidRPr="00A172C2">
        <w:rPr>
          <w:lang w:val="en-US"/>
        </w:rPr>
        <w:fldChar w:fldCharType="separate"/>
      </w:r>
      <w:r w:rsidRPr="00A172C2">
        <w:rPr>
          <w:lang w:val="en-US"/>
        </w:rPr>
        <w:t>(Myers &amp; Majluf, 1984)</w:t>
      </w:r>
      <w:r w:rsidRPr="00A172C2">
        <w:fldChar w:fldCharType="end"/>
      </w:r>
      <w:r w:rsidRPr="00A172C2">
        <w:rPr>
          <w:lang w:val="en-US"/>
        </w:rPr>
        <w:t xml:space="preserve"> requires signals from the firm's internal parties. Positive signs can be given to the public through dividend payments. Signals in dividend distribution are essential for the firm </w:t>
      </w:r>
      <w:r w:rsidRPr="00A172C2">
        <w:rPr>
          <w:lang w:val="en-US"/>
        </w:rPr>
        <w:fldChar w:fldCharType="begin"/>
      </w:r>
      <w:r w:rsidRPr="00A172C2">
        <w:rPr>
          <w:lang w:val="en-US"/>
        </w:rPr>
        <w:instrText xml:space="preserve"> ADDIN EN.CITE &lt;EndNote&gt;&lt;Cite&gt;&lt;Author&gt;Gordon&lt;/Author&gt;&lt;Year&gt;1959&lt;/Year&gt;&lt;RecNum&gt;806&lt;/RecNum&gt;&lt;DisplayText&gt;(Gordon, 1959)&lt;/DisplayText&gt;&lt;record&gt;&lt;rec-number&gt;806&lt;/rec-number&gt;&lt;foreign-keys&gt;&lt;key app="EN" db-id="dwz29eaxrr25scewrx6vate4td0w0xd29sae" timestamp="1605427663"&gt;806&lt;/key&gt;&lt;/foreign-keys&gt;&lt;ref-type name="Journal Article"&gt;17&lt;/ref-type&gt;&lt;contributors&gt;&lt;authors&gt;&lt;author&gt;M. J. Gordon&lt;/author&gt;&lt;/authors&gt;&lt;/contributors&gt;&lt;titles&gt;&lt;title&gt;Dividends, Earnings, and Stock Prices&lt;/title&gt;&lt;secondary-title&gt;The Review of Economics and Statistics&lt;/secondary-title&gt;&lt;/titles&gt;&lt;periodical&gt;&lt;full-title&gt;The Review of Economics and Statistics&lt;/full-title&gt;&lt;/periodical&gt;&lt;pages&gt;99-205&lt;/pages&gt;&lt;volume&gt;41&lt;/volume&gt;&lt;number&gt;2&lt;/number&gt;&lt;dates&gt;&lt;year&gt;1959&lt;/year&gt;&lt;/dates&gt;&lt;isbn&gt;0034-6535&lt;/isbn&gt;&lt;urls&gt;&lt;related-urls&gt;&lt;url&gt;https://doi.org/10.2307/1927792&lt;/url&gt;&lt;/related-urls&gt;&lt;/urls&gt;&lt;electronic-resource-num&gt;10.2307/1927792&lt;/electronic-resource-num&gt;&lt;/record&gt;&lt;/Cite&gt;&lt;/EndNote&gt;</w:instrText>
      </w:r>
      <w:r w:rsidRPr="00A172C2">
        <w:rPr>
          <w:lang w:val="en-US"/>
        </w:rPr>
        <w:fldChar w:fldCharType="separate"/>
      </w:r>
      <w:r w:rsidRPr="00A172C2">
        <w:rPr>
          <w:lang w:val="en-US"/>
        </w:rPr>
        <w:t>(Gordon, 1959)</w:t>
      </w:r>
      <w:r w:rsidRPr="00A172C2">
        <w:fldChar w:fldCharType="end"/>
      </w:r>
      <w:r w:rsidRPr="00A172C2">
        <w:rPr>
          <w:lang w:val="en-US"/>
        </w:rPr>
        <w:t xml:space="preserve">. Shareholders prefer high dividend payments because an increase in dividend distribution can reduce the risk of stock losses (Bird-in-the-hand theory </w:t>
      </w:r>
      <w:r w:rsidRPr="00A172C2">
        <w:rPr>
          <w:lang w:val="en-US"/>
        </w:rPr>
        <w:fldChar w:fldCharType="begin"/>
      </w:r>
      <w:r w:rsidRPr="00A172C2">
        <w:rPr>
          <w:lang w:val="en-US"/>
        </w:rPr>
        <w:instrText xml:space="preserve"> ADDIN EN.CITE &lt;EndNote&gt;&lt;Cite&gt;&lt;Author&gt;Lintner&lt;/Author&gt;&lt;Year&gt;1956&lt;/Year&gt;&lt;RecNum&gt;805&lt;/RecNum&gt;&lt;DisplayText&gt;(Lintner, 1956)&lt;/DisplayText&gt;&lt;record&gt;&lt;rec-number&gt;805&lt;/rec-number&gt;&lt;foreign-keys&gt;&lt;key app="EN" db-id="dwz29eaxrr25scewrx6vate4td0w0xd29sae" timestamp="1605427458"&gt;805&lt;/key&gt;&lt;/foreign-keys&gt;&lt;ref-type name="Journal Article"&gt;17&lt;/ref-type&gt;&lt;contributors&gt;&lt;authors&gt;&lt;author&gt;John Lintner&lt;/author&gt;&lt;/authors&gt;&lt;/contributors&gt;&lt;titles&gt;&lt;title&gt;Distribution of Incomes of Corporations Among Dividends, Retained Earnings, and Taxes&lt;/title&gt;&lt;secondary-title&gt;The American Economic Review&lt;/secondary-title&gt;&lt;/titles&gt;&lt;periodical&gt;&lt;full-title&gt;The American Economic Review&lt;/full-title&gt;&lt;/periodical&gt;&lt;pages&gt;97-113&lt;/pages&gt;&lt;volume&gt;46&lt;/volume&gt;&lt;number&gt;2&lt;/number&gt;&lt;section&gt;97&lt;/section&gt;&lt;dates&gt;&lt;year&gt;1956&lt;/year&gt;&lt;/dates&gt;&lt;isbn&gt;0002-8282&lt;/isbn&gt;&lt;urls&gt;&lt;related-urls&gt;&lt;url&gt;https://www.jstor.org/stable/1910664&lt;/url&gt;&lt;/related-urls&gt;&lt;/urls&gt;&lt;/record&gt;&lt;/Cite&gt;&lt;/EndNote&gt;</w:instrText>
      </w:r>
      <w:r w:rsidRPr="00A172C2">
        <w:rPr>
          <w:lang w:val="en-US"/>
        </w:rPr>
        <w:fldChar w:fldCharType="separate"/>
      </w:r>
      <w:r w:rsidRPr="00A172C2">
        <w:rPr>
          <w:lang w:val="en-US"/>
        </w:rPr>
        <w:t>(Lintner, 1956)</w:t>
      </w:r>
      <w:r w:rsidRPr="00A172C2">
        <w:fldChar w:fldCharType="end"/>
      </w:r>
      <w:r w:rsidRPr="00A172C2">
        <w:rPr>
          <w:lang w:val="en-US"/>
        </w:rPr>
        <w:t>). However, the manager prefers retained earnings; the dividend policy seems absolute to be done by the firm because it is an effort to reduce agency costs.</w:t>
      </w:r>
    </w:p>
    <w:p w14:paraId="13ACB859" w14:textId="77777777" w:rsidR="00A172C2" w:rsidRPr="00A172C2" w:rsidRDefault="00A172C2" w:rsidP="00A172C2">
      <w:pPr>
        <w:rPr>
          <w:lang w:val="en-US"/>
        </w:rPr>
      </w:pPr>
      <w:r w:rsidRPr="00A172C2">
        <w:rPr>
          <w:lang w:val="en-US"/>
        </w:rPr>
        <w:t xml:space="preserve">Low dividends result in higher risk borne by shareholders. Dividend distribution is carried out to signal the firm's positive information (good prospects) from internal parties (managers) to shareholders who have information inequality. Thus, shareholders will absorb the signal and can give their perception of the firm. </w:t>
      </w:r>
      <w:r w:rsidRPr="00A172C2">
        <w:rPr>
          <w:lang w:val="en-US"/>
        </w:rPr>
        <w:fldChar w:fldCharType="begin"/>
      </w:r>
      <w:r w:rsidRPr="00A172C2">
        <w:rPr>
          <w:lang w:val="en-US"/>
        </w:rPr>
        <w:instrText xml:space="preserve"> ADDIN EN.CITE &lt;EndNote&gt;&lt;Cite AuthorYear="1"&gt;&lt;Author&gt;Seth&lt;/Author&gt;&lt;Year&gt;2022&lt;/Year&gt;&lt;RecNum&gt;1308&lt;/RecNum&gt;&lt;DisplayText&gt;Seth and Mahenthiran (2022)&lt;/DisplayText&gt;&lt;record&gt;&lt;rec-number&gt;1308&lt;/rec-number&gt;&lt;foreign-keys&gt;&lt;key app="EN" db-id="pxp0tevd0eaw9fewxe85s0ded0f5vaarf95d" timestamp="1653547080"&gt;1308&lt;/key&gt;&lt;/foreign-keys&gt;&lt;ref-type name="Journal Article"&gt;17&lt;/ref-type&gt;&lt;contributors&gt;&lt;authors&gt;&lt;author&gt;Rama Seth&lt;/author&gt;&lt;author&gt;Sakthi Mahenthiran&lt;/author&gt;&lt;/authors&gt;&lt;/contributors&gt;&lt;titles&gt;&lt;title&gt;Impact of Dividend Payouts and Corporate Social Responsibility on Firm Value - Evidence from India&lt;/title&gt;&lt;secondary-title&gt;Journal of Business Research&lt;/secondary-title&gt;&lt;/titles&gt;&lt;periodical&gt;&lt;full-title&gt;Journal of Business Research&lt;/full-title&gt;&lt;/periodical&gt;&lt;pages&gt;571-581&lt;/pages&gt;&lt;volume&gt;146&lt;/volume&gt;&lt;dates&gt;&lt;year&gt;2022&lt;/year&gt;&lt;/dates&gt;&lt;isbn&gt;0148-2963&lt;/isbn&gt;&lt;urls&gt;&lt;related-urls&gt;&lt;url&gt;https://doi.org/10.1016/j.jbusres.2022.03.053&lt;/url&gt;&lt;/related-urls&gt;&lt;/urls&gt;&lt;electronic-resource-num&gt;10.1016/j.jbusres.2022.03.053&lt;/electronic-resource-num&gt;&lt;/record&gt;&lt;/Cite&gt;&lt;/EndNote&gt;</w:instrText>
      </w:r>
      <w:r w:rsidRPr="00A172C2">
        <w:rPr>
          <w:lang w:val="en-US"/>
        </w:rPr>
        <w:fldChar w:fldCharType="separate"/>
      </w:r>
      <w:r w:rsidRPr="00A172C2">
        <w:rPr>
          <w:lang w:val="en-US"/>
        </w:rPr>
        <w:t>Seth and Mahenthiran (2022)</w:t>
      </w:r>
      <w:r w:rsidRPr="00A172C2">
        <w:fldChar w:fldCharType="end"/>
      </w:r>
      <w:r w:rsidRPr="00A172C2">
        <w:rPr>
          <w:lang w:val="en-US"/>
        </w:rPr>
        <w:t xml:space="preserve"> show that dividend policy positively affects firm value. Dividend distribution is expected to change investor perception positively so that the firm's value increases. Based on this, the following second hypothesis was built:</w:t>
      </w:r>
    </w:p>
    <w:p w14:paraId="6428EDB8" w14:textId="77777777" w:rsidR="00A172C2" w:rsidRPr="00A172C2" w:rsidRDefault="00A172C2" w:rsidP="00A172C2">
      <w:pPr>
        <w:rPr>
          <w:lang w:val="en-US"/>
        </w:rPr>
      </w:pPr>
      <w:r w:rsidRPr="00A172C2">
        <w:rPr>
          <w:lang w:val="en-US"/>
        </w:rPr>
        <w:t>H</w:t>
      </w:r>
      <w:r w:rsidRPr="00A172C2">
        <w:rPr>
          <w:vertAlign w:val="subscript"/>
          <w:lang w:val="en-US"/>
        </w:rPr>
        <w:t>2</w:t>
      </w:r>
      <w:r w:rsidRPr="00A172C2">
        <w:rPr>
          <w:lang w:val="en-US"/>
        </w:rPr>
        <w:t>: Dividend policy can encourage an increase in firm value.</w:t>
      </w:r>
    </w:p>
    <w:p w14:paraId="11349F50" w14:textId="77777777" w:rsidR="00A172C2" w:rsidRPr="00A172C2" w:rsidRDefault="00A172C2" w:rsidP="00A172C2">
      <w:pPr>
        <w:rPr>
          <w:lang w:val="en-US"/>
        </w:rPr>
      </w:pPr>
      <w:r w:rsidRPr="00A172C2">
        <w:rPr>
          <w:lang w:val="en-US"/>
        </w:rPr>
        <w:t xml:space="preserve">The next question that arises is whether there is a relationship between funding decisions and the firm's dividend policy? The firm should be able to signal to the public through a dividend policy if it is supported by its internal ability to support the policy. In this case, a firm with a low cost of debt, which means that it reflects lower financial risk, will potentially make higher dividend payments. This logic is logical considering the pecking order theory by </w:t>
      </w:r>
      <w:r w:rsidRPr="00A172C2">
        <w:rPr>
          <w:lang w:val="en-US"/>
        </w:rPr>
        <w:fldChar w:fldCharType="begin"/>
      </w:r>
      <w:r w:rsidRPr="00A172C2">
        <w:rPr>
          <w:lang w:val="en-US"/>
        </w:rPr>
        <w:instrText xml:space="preserve"> ADDIN EN.CITE &lt;EndNote&gt;&lt;Cite AuthorYear="1"&gt;&lt;Author&gt;Myers&lt;/Author&gt;&lt;Year&gt;1984&lt;/Year&gt;&lt;RecNum&gt;85&lt;/RecNum&gt;&lt;DisplayText&gt;Myers and Majluf (1984)&lt;/DisplayText&gt;&lt;record&gt;&lt;rec-number&gt;85&lt;/rec-number&gt;&lt;foreign-keys&gt;&lt;key app="EN" db-id="dwz29eaxrr25scewrx6vate4td0w0xd29sae" timestamp="0"&gt;85&lt;/key&gt;&lt;/foreign-keys&gt;&lt;ref-type name="Journal Article"&gt;17&lt;/ref-type&gt;&lt;contributors&gt;&lt;authors&gt;&lt;author&gt;Stewart C. Myers&lt;/author&gt;&lt;author&gt;Nicholas S. Majluf&lt;/author&gt;&lt;/authors&gt;&lt;/contributors&gt;&lt;titles&gt;&lt;title&gt;Corporate Financing and Investment Decisions: When Firm Have Information that Investors Do Not Have&lt;/title&gt;&lt;secondary-title&gt;Journal of Financial Economics&lt;/secondary-title&gt;&lt;/titles&gt;&lt;periodical&gt;&lt;full-title&gt;Journal of Financial Economics&lt;/full-title&gt;&lt;/periodical&gt;&lt;pages&gt;187-221&lt;/pages&gt;&lt;volume&gt;13&lt;/volume&gt;&lt;section&gt;187&lt;/section&gt;&lt;dates&gt;&lt;year&gt;1984&lt;/year&gt;&lt;/dates&gt;&lt;isbn&gt;0304-405X&lt;/isbn&gt;&lt;urls&gt;&lt;related-urls&gt;&lt;url&gt;https://doi.org/10.1016/0304-405X(84)90023-0&lt;/url&gt;&lt;/related-urls&gt;&lt;/urls&gt;&lt;electronic-resource-num&gt;10.1016/0304-405X(84)90023-0&lt;/electronic-resource-num&gt;&lt;/record&gt;&lt;/Cite&gt;&lt;/EndNote&gt;</w:instrText>
      </w:r>
      <w:r w:rsidRPr="00A172C2">
        <w:rPr>
          <w:lang w:val="en-US"/>
        </w:rPr>
        <w:fldChar w:fldCharType="separate"/>
      </w:r>
      <w:r w:rsidRPr="00A172C2">
        <w:rPr>
          <w:lang w:val="en-US"/>
        </w:rPr>
        <w:t>Myers and Majluf (1984)</w:t>
      </w:r>
      <w:r w:rsidRPr="00A172C2">
        <w:fldChar w:fldCharType="end"/>
      </w:r>
      <w:r w:rsidRPr="00A172C2">
        <w:rPr>
          <w:lang w:val="en-US"/>
        </w:rPr>
        <w:t xml:space="preserve"> and previous empirical evidence </w:t>
      </w:r>
      <w:r w:rsidRPr="00A172C2">
        <w:rPr>
          <w:lang w:val="en-US"/>
        </w:rPr>
        <w:fldChar w:fldCharType="begin"/>
      </w:r>
      <w:r w:rsidRPr="00A172C2">
        <w:rPr>
          <w:lang w:val="en-US"/>
        </w:rPr>
        <w:instrText xml:space="preserve"> ADDIN EN.CITE &lt;EndNote&gt;&lt;Cite&gt;&lt;Author&gt;Jozwiak&lt;/Author&gt;&lt;Year&gt;2015&lt;/Year&gt;&lt;RecNum&gt;9&lt;/RecNum&gt;&lt;DisplayText&gt;(Jozwiak, 2015)&lt;/DisplayText&gt;&lt;record&gt;&lt;rec-number&gt;9&lt;/rec-number&gt;&lt;foreign-keys&gt;&lt;key app="EN" db-id="pxp0tevd0eaw9fewxe85s0ded0f5vaarf95d" timestamp="1652756122"&gt;9&lt;/key&gt;&lt;/foreign-keys&gt;&lt;ref-type name="Journal Article"&gt;17&lt;/ref-type&gt;&lt;contributors&gt;&lt;authors&gt;&lt;author&gt;&lt;style face="normal" font="default" size="100%"&gt;Bogna Kaz&lt;/style&gt;&lt;style face="normal" font="default" charset="238" size="100%"&gt;mierska&lt;/style&gt;&lt;style face="normal" font="default" size="100%"&gt; &lt;/style&gt;&lt;style face="normal" font="default" charset="238" size="100%"&gt;J&lt;/style&gt;&lt;style face="normal" font="default" size="100%"&gt;oz&lt;/style&gt;&lt;style face="normal" font="default" charset="238" size="100%"&gt;wiak&lt;/style&gt;&lt;/author&gt;&lt;/authors&gt;&lt;/contributors&gt;&lt;titles&gt;&lt;title&gt;Determinants of Dividend Policy: Evidence from Polish Listed Companies&lt;/title&gt;&lt;secondary-title&gt;Procedia Economics and Finance&lt;/secondary-title&gt;&lt;/titles&gt;&lt;pages&gt;473-477&lt;/pages&gt;&lt;volume&gt;23&lt;/volume&gt;&lt;dates&gt;&lt;year&gt;2015&lt;/year&gt;&lt;/dates&gt;&lt;isbn&gt;2212-5671&lt;/isbn&gt;&lt;urls&gt;&lt;related-urls&gt;&lt;url&gt;https://doi.org/10.1016/S2212-5671(15)00490-6&lt;/url&gt;&lt;/related-urls&gt;&lt;/urls&gt;&lt;electronic-resource-num&gt;10.1016/S2212-5671(15)00490-6&lt;/electronic-resource-num&gt;&lt;/record&gt;&lt;/Cite&gt;&lt;/EndNote&gt;</w:instrText>
      </w:r>
      <w:r w:rsidRPr="00A172C2">
        <w:rPr>
          <w:lang w:val="en-US"/>
        </w:rPr>
        <w:fldChar w:fldCharType="separate"/>
      </w:r>
      <w:r w:rsidRPr="00A172C2">
        <w:rPr>
          <w:lang w:val="en-US"/>
        </w:rPr>
        <w:t>(Jozwiak, 2015)</w:t>
      </w:r>
      <w:r w:rsidRPr="00A172C2">
        <w:fldChar w:fldCharType="end"/>
      </w:r>
      <w:r w:rsidRPr="00A172C2">
        <w:rPr>
          <w:lang w:val="en-US"/>
        </w:rPr>
        <w:t>. Thus, the first hypothesis of this study is:</w:t>
      </w:r>
    </w:p>
    <w:p w14:paraId="52AB3E31" w14:textId="2AD07005" w:rsidR="00A91BF1" w:rsidRDefault="00A172C2" w:rsidP="00A172C2">
      <w:r w:rsidRPr="00A172C2">
        <w:rPr>
          <w:lang w:val="en-US"/>
        </w:rPr>
        <w:t>H</w:t>
      </w:r>
      <w:r w:rsidRPr="00A172C2">
        <w:rPr>
          <w:vertAlign w:val="subscript"/>
          <w:lang w:val="en-US"/>
        </w:rPr>
        <w:t>3</w:t>
      </w:r>
      <w:r w:rsidRPr="00A172C2">
        <w:rPr>
          <w:lang w:val="en-US"/>
        </w:rPr>
        <w:t>: High leverage causes lower dividend payments.</w:t>
      </w:r>
    </w:p>
    <w:p w14:paraId="52AB3E40" w14:textId="77777777" w:rsidR="00CE08B6" w:rsidRDefault="00CE08B6" w:rsidP="00CE08B6"/>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2CA3B119" w14:textId="77777777" w:rsidR="00A172C2" w:rsidRPr="00A172C2" w:rsidRDefault="00A172C2" w:rsidP="00A172C2">
      <w:pPr>
        <w:rPr>
          <w:lang w:val="en-US"/>
        </w:rPr>
      </w:pPr>
      <w:r w:rsidRPr="00A172C2">
        <w:rPr>
          <w:lang w:val="en-US"/>
        </w:rPr>
        <w:t xml:space="preserve">We tested nineteen firms in the food and beverage sub-sector that consecutively distributed dividends from 2016 to 2020. Financial data were obtained from each firm's financial statements, while stock prices were obtained from the Indonesian Stock Exchange (IDX). Testing is done by first testing the basic model that can explain changes in firm value. The firm's value is estimated by liquidity, leverage, and profitability by referring to previous research </w:t>
      </w:r>
      <w:r w:rsidRPr="00A172C2">
        <w:rPr>
          <w:lang w:val="en-US"/>
        </w:rPr>
        <w:fldChar w:fldCharType="begin">
          <w:fldData xml:space="preserve">PEVuZE5vdGU+PENpdGU+PEF1dGhvcj5TYXRyaW88L0F1dGhvcj48WWVhcj4yMDIyPC9ZZWFyPjxS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</w:fldData>
        </w:fldChar>
      </w:r>
      <w:r w:rsidRPr="00A172C2">
        <w:rPr>
          <w:lang w:val="en-US"/>
        </w:rPr>
        <w:instrText xml:space="preserve"> ADDIN EN.CITE </w:instrText>
      </w:r>
      <w:r w:rsidRPr="00A172C2">
        <w:rPr>
          <w:lang w:val="en-US"/>
        </w:rPr>
        <w:fldChar w:fldCharType="begin">
          <w:fldData xml:space="preserve">PEVuZE5vdGU+PENpdGU+PEF1dGhvcj5TYXRyaW88L0F1dGhvcj48WWVhcj4yMDIyPC9ZZWFyPjxS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</w:fldData>
        </w:fldChar>
      </w:r>
      <w:r w:rsidRPr="00A172C2">
        <w:rPr>
          <w:lang w:val="en-US"/>
        </w:rPr>
        <w:instrText xml:space="preserve"> ADDIN EN.CITE.DATA </w:instrText>
      </w:r>
      <w:r w:rsidRPr="00A172C2">
        <w:fldChar w:fldCharType="end"/>
      </w:r>
      <w:r w:rsidRPr="00A172C2">
        <w:rPr>
          <w:lang w:val="en-US"/>
        </w:rPr>
      </w:r>
      <w:r w:rsidRPr="00A172C2">
        <w:rPr>
          <w:lang w:val="en-US"/>
        </w:rPr>
        <w:fldChar w:fldCharType="separate"/>
      </w:r>
      <w:r w:rsidRPr="00A172C2">
        <w:rPr>
          <w:lang w:val="en-US"/>
        </w:rPr>
        <w:t>(Bahraini, Endri, Santoso, Hartati, &amp; Pramudena, 2021; Prommin, Jumreornvong, Jiraporn, &amp; Tong, 2016; Satrio, 2022)</w:t>
      </w:r>
      <w:r w:rsidRPr="00A172C2">
        <w:fldChar w:fldCharType="end"/>
      </w:r>
      <w:r w:rsidRPr="00A172C2">
        <w:rPr>
          <w:lang w:val="en-US"/>
        </w:rPr>
        <w:t>. Initial identification of the test is carried out using the pooled ordinary least square (OLS), with the following equation:</w:t>
      </w:r>
    </w:p>
    <w:p w14:paraId="1ECDD151" w14:textId="77777777" w:rsidR="00A172C2" w:rsidRPr="00A172C2" w:rsidRDefault="00A172C2" w:rsidP="00A172C2">
      <w:pPr>
        <w:rPr>
          <w:lang w:val="en-US"/>
        </w:rPr>
      </w:pPr>
      <w:proofErr w:type="spellStart"/>
      <w:r w:rsidRPr="00A172C2">
        <w:rPr>
          <w:lang w:val="en-US"/>
        </w:rPr>
        <w:t>VALUE</w:t>
      </w:r>
      <w:r w:rsidRPr="00A172C2">
        <w:rPr>
          <w:vertAlign w:val="subscript"/>
          <w:lang w:val="en-US"/>
        </w:rPr>
        <w:t>i</w:t>
      </w:r>
      <w:proofErr w:type="spellEnd"/>
      <w:r w:rsidRPr="00A172C2">
        <w:rPr>
          <w:lang w:val="en-US"/>
        </w:rPr>
        <w:t xml:space="preserve">, </w:t>
      </w:r>
      <w:r w:rsidRPr="00A172C2">
        <w:rPr>
          <w:vertAlign w:val="subscript"/>
          <w:lang w:val="en-US"/>
        </w:rPr>
        <w:t>t+1</w:t>
      </w:r>
      <w:r w:rsidRPr="00A172C2">
        <w:rPr>
          <w:lang w:val="en-US"/>
        </w:rPr>
        <w:t xml:space="preserve"> = β</w:t>
      </w:r>
      <w:r w:rsidRPr="00A172C2">
        <w:rPr>
          <w:vertAlign w:val="subscript"/>
          <w:lang w:val="en-US"/>
        </w:rPr>
        <w:t xml:space="preserve">0 </w:t>
      </w:r>
      <w:r w:rsidRPr="00A172C2">
        <w:rPr>
          <w:lang w:val="en-US"/>
        </w:rPr>
        <w:t>+ β</w:t>
      </w:r>
      <w:r w:rsidRPr="00A172C2">
        <w:rPr>
          <w:vertAlign w:val="subscript"/>
          <w:lang w:val="en-US"/>
        </w:rPr>
        <w:t>1</w:t>
      </w:r>
      <w:r w:rsidRPr="00A172C2">
        <w:rPr>
          <w:lang w:val="en-US"/>
        </w:rPr>
        <w:t>LIQ</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β</w:t>
      </w:r>
      <w:r w:rsidRPr="00A172C2">
        <w:rPr>
          <w:vertAlign w:val="subscript"/>
          <w:lang w:val="en-US"/>
        </w:rPr>
        <w:t>2</w:t>
      </w:r>
      <w:r w:rsidRPr="00A172C2">
        <w:rPr>
          <w:lang w:val="en-US"/>
        </w:rPr>
        <w:t>LEV</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β</w:t>
      </w:r>
      <w:r w:rsidRPr="00A172C2">
        <w:rPr>
          <w:vertAlign w:val="subscript"/>
          <w:lang w:val="en-US"/>
        </w:rPr>
        <w:t>3</w:t>
      </w:r>
      <w:r w:rsidRPr="00A172C2">
        <w:rPr>
          <w:lang w:val="en-US"/>
        </w:rPr>
        <w:t>PROFIT</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w:t>
      </w:r>
      <w:proofErr w:type="spellStart"/>
      <w:r w:rsidRPr="00A172C2">
        <w:rPr>
          <w:lang w:val="en-US"/>
        </w:rPr>
        <w:t>ε</w:t>
      </w:r>
      <w:r w:rsidRPr="00A172C2">
        <w:rPr>
          <w:vertAlign w:val="subscript"/>
          <w:lang w:val="en-US"/>
        </w:rPr>
        <w:t>i</w:t>
      </w:r>
      <w:proofErr w:type="spellEnd"/>
      <w:r w:rsidRPr="00A172C2">
        <w:rPr>
          <w:vertAlign w:val="subscript"/>
          <w:lang w:val="en-US"/>
        </w:rPr>
        <w:t>, t</w:t>
      </w:r>
      <w:r w:rsidRPr="00A172C2">
        <w:rPr>
          <w:lang w:val="en-US"/>
        </w:rPr>
        <w:t xml:space="preserve"> </w:t>
      </w:r>
      <w:r w:rsidRPr="00A172C2">
        <w:rPr>
          <w:lang w:val="en-US"/>
        </w:rPr>
        <w:tab/>
        <w:t>(1)</w:t>
      </w:r>
    </w:p>
    <w:p w14:paraId="58E3E3F8" w14:textId="77777777" w:rsidR="00A172C2" w:rsidRPr="00A172C2" w:rsidRDefault="00A172C2" w:rsidP="00A172C2">
      <w:pPr>
        <w:rPr>
          <w:lang w:val="en-US"/>
        </w:rPr>
      </w:pPr>
      <w:r w:rsidRPr="00A172C2">
        <w:rPr>
          <w:lang w:val="en-US"/>
        </w:rPr>
        <w:lastRenderedPageBreak/>
        <w:t>where firm value (VALUE) is measured by Tobin's Q, which is obtained from the total market value of equity and book value of debt which is then compared with the book value of total assets. The stock price used to measure the firm's value is carried out carefully, based on the date of payment of cash dividends. This is done with consideration to determine the market reaction. Liquidity (LIQ) is measured by the difference between current assets and current liabilities. Leverage (LEV) is determined by comparing total debt to total equity, while profitability (PROFIT) is measured by net income after tax to total assets.</w:t>
      </w:r>
    </w:p>
    <w:p w14:paraId="39AD8F3D" w14:textId="77777777" w:rsidR="00A172C2" w:rsidRPr="00A172C2" w:rsidRDefault="00A172C2" w:rsidP="00A172C2">
      <w:pPr>
        <w:rPr>
          <w:lang w:val="en-US"/>
        </w:rPr>
      </w:pPr>
      <w:r w:rsidRPr="00A172C2">
        <w:rPr>
          <w:lang w:val="en-US"/>
        </w:rPr>
        <w:t>The main purpose of this study is to determine whether funding decisions have a role in explaining the value of firms that regularly pay dividends. The main model was built based on the basic model, as shown in equation 3. The main model is investigated by including dividends in the test. The dividend policy (DIVIDEND) is determined based on the cash dividend per share distributed. The following second and third equation tests were carried out using fixed effects and random effects models, with preliminary tests conducted to determine the best model.</w:t>
      </w:r>
    </w:p>
    <w:p w14:paraId="525CF173" w14:textId="77777777" w:rsidR="00A172C2" w:rsidRPr="00A172C2" w:rsidRDefault="00A172C2" w:rsidP="00A172C2">
      <w:pPr>
        <w:rPr>
          <w:lang w:val="en-US"/>
        </w:rPr>
      </w:pPr>
      <w:proofErr w:type="spellStart"/>
      <w:r w:rsidRPr="00A172C2">
        <w:rPr>
          <w:lang w:val="en-US"/>
        </w:rPr>
        <w:t>DIVIDEND</w:t>
      </w:r>
      <w:r w:rsidRPr="00A172C2">
        <w:rPr>
          <w:vertAlign w:val="subscript"/>
          <w:lang w:val="en-US"/>
        </w:rPr>
        <w:t>i</w:t>
      </w:r>
      <w:proofErr w:type="spellEnd"/>
      <w:r w:rsidRPr="00A172C2">
        <w:rPr>
          <w:vertAlign w:val="subscript"/>
          <w:lang w:val="en-US"/>
        </w:rPr>
        <w:t>, t+1</w:t>
      </w:r>
      <w:r w:rsidRPr="00A172C2">
        <w:rPr>
          <w:lang w:val="en-US"/>
        </w:rPr>
        <w:t xml:space="preserve"> = β</w:t>
      </w:r>
      <w:r w:rsidRPr="00A172C2">
        <w:rPr>
          <w:vertAlign w:val="subscript"/>
          <w:lang w:val="en-US"/>
        </w:rPr>
        <w:t>0</w:t>
      </w:r>
      <w:r w:rsidRPr="00A172C2">
        <w:rPr>
          <w:lang w:val="en-US"/>
        </w:rPr>
        <w:t xml:space="preserve"> + β</w:t>
      </w:r>
      <w:r w:rsidRPr="00A172C2">
        <w:rPr>
          <w:vertAlign w:val="subscript"/>
          <w:lang w:val="en-US"/>
        </w:rPr>
        <w:t>1</w:t>
      </w:r>
      <w:r w:rsidRPr="00A172C2">
        <w:rPr>
          <w:lang w:val="en-US"/>
        </w:rPr>
        <w:t xml:space="preserve">LEVERAGE + </w:t>
      </w:r>
      <w:proofErr w:type="spellStart"/>
      <w:r w:rsidRPr="00A172C2">
        <w:rPr>
          <w:lang w:val="en-US"/>
        </w:rPr>
        <w:t>ε</w:t>
      </w:r>
      <w:r w:rsidRPr="00A172C2">
        <w:rPr>
          <w:vertAlign w:val="subscript"/>
          <w:lang w:val="en-US"/>
        </w:rPr>
        <w:t>i</w:t>
      </w:r>
      <w:proofErr w:type="spellEnd"/>
      <w:r w:rsidRPr="00A172C2">
        <w:rPr>
          <w:vertAlign w:val="subscript"/>
          <w:lang w:val="en-US"/>
        </w:rPr>
        <w:t>, t</w:t>
      </w:r>
      <w:r w:rsidRPr="00A172C2">
        <w:rPr>
          <w:lang w:val="en-US"/>
        </w:rPr>
        <w:tab/>
        <w:t>(2)</w:t>
      </w:r>
    </w:p>
    <w:p w14:paraId="52AB3E52" w14:textId="52A79DE5" w:rsidR="00CE08B6" w:rsidRDefault="00A172C2" w:rsidP="00A172C2">
      <w:proofErr w:type="spellStart"/>
      <w:r w:rsidRPr="00A172C2">
        <w:rPr>
          <w:lang w:val="en-US"/>
        </w:rPr>
        <w:t>VALUE</w:t>
      </w:r>
      <w:r w:rsidRPr="00A172C2">
        <w:rPr>
          <w:vertAlign w:val="subscript"/>
          <w:lang w:val="en-US"/>
        </w:rPr>
        <w:t>i</w:t>
      </w:r>
      <w:proofErr w:type="spellEnd"/>
      <w:r w:rsidRPr="00A172C2">
        <w:rPr>
          <w:lang w:val="en-US"/>
        </w:rPr>
        <w:t xml:space="preserve">, </w:t>
      </w:r>
      <w:r w:rsidRPr="00A172C2">
        <w:rPr>
          <w:vertAlign w:val="subscript"/>
          <w:lang w:val="en-US"/>
        </w:rPr>
        <w:t>t+1</w:t>
      </w:r>
      <w:r w:rsidRPr="00A172C2">
        <w:rPr>
          <w:lang w:val="en-US"/>
        </w:rPr>
        <w:t xml:space="preserve"> = β</w:t>
      </w:r>
      <w:r w:rsidRPr="00A172C2">
        <w:rPr>
          <w:vertAlign w:val="subscript"/>
          <w:lang w:val="en-US"/>
        </w:rPr>
        <w:t xml:space="preserve">0 </w:t>
      </w:r>
      <w:r w:rsidRPr="00A172C2">
        <w:rPr>
          <w:lang w:val="en-US"/>
        </w:rPr>
        <w:t>+ β</w:t>
      </w:r>
      <w:r w:rsidRPr="00A172C2">
        <w:rPr>
          <w:vertAlign w:val="subscript"/>
          <w:lang w:val="en-US"/>
        </w:rPr>
        <w:t>1</w:t>
      </w:r>
      <w:r w:rsidRPr="00A172C2">
        <w:rPr>
          <w:lang w:val="en-US"/>
        </w:rPr>
        <w:t>LIQ</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β</w:t>
      </w:r>
      <w:r w:rsidRPr="00A172C2">
        <w:rPr>
          <w:vertAlign w:val="subscript"/>
          <w:lang w:val="en-US"/>
        </w:rPr>
        <w:t>2</w:t>
      </w:r>
      <w:r w:rsidRPr="00A172C2">
        <w:rPr>
          <w:lang w:val="en-US"/>
        </w:rPr>
        <w:t>LEV</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β</w:t>
      </w:r>
      <w:r w:rsidRPr="00A172C2">
        <w:rPr>
          <w:vertAlign w:val="subscript"/>
          <w:lang w:val="en-US"/>
        </w:rPr>
        <w:t>3</w:t>
      </w:r>
      <w:r w:rsidRPr="00A172C2">
        <w:rPr>
          <w:lang w:val="en-US"/>
        </w:rPr>
        <w:t>PROFIT</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β</w:t>
      </w:r>
      <w:r w:rsidRPr="00A172C2">
        <w:rPr>
          <w:vertAlign w:val="subscript"/>
          <w:lang w:val="en-US"/>
        </w:rPr>
        <w:t>4</w:t>
      </w:r>
      <w:r w:rsidRPr="00A172C2">
        <w:rPr>
          <w:lang w:val="en-US"/>
        </w:rPr>
        <w:t>DIVIDEND</w:t>
      </w:r>
      <w:r w:rsidRPr="00A172C2">
        <w:rPr>
          <w:vertAlign w:val="subscript"/>
          <w:lang w:val="en-US"/>
        </w:rPr>
        <w:t>i,</w:t>
      </w:r>
      <w:r w:rsidRPr="00A172C2">
        <w:rPr>
          <w:lang w:val="en-US"/>
        </w:rPr>
        <w:t xml:space="preserve"> </w:t>
      </w:r>
      <w:r w:rsidRPr="00A172C2">
        <w:rPr>
          <w:vertAlign w:val="subscript"/>
          <w:lang w:val="en-US"/>
        </w:rPr>
        <w:t>t</w:t>
      </w:r>
      <w:r w:rsidRPr="00A172C2">
        <w:rPr>
          <w:lang w:val="en-US"/>
        </w:rPr>
        <w:t xml:space="preserve"> + </w:t>
      </w:r>
      <w:proofErr w:type="spellStart"/>
      <w:r w:rsidRPr="00A172C2">
        <w:rPr>
          <w:lang w:val="en-US"/>
        </w:rPr>
        <w:t>ε</w:t>
      </w:r>
      <w:r w:rsidRPr="00A172C2">
        <w:rPr>
          <w:vertAlign w:val="subscript"/>
          <w:lang w:val="en-US"/>
        </w:rPr>
        <w:t>i</w:t>
      </w:r>
      <w:proofErr w:type="spellEnd"/>
      <w:r w:rsidRPr="00A172C2">
        <w:rPr>
          <w:vertAlign w:val="subscript"/>
          <w:lang w:val="en-US"/>
        </w:rPr>
        <w:t>, t</w:t>
      </w:r>
      <w:r w:rsidR="008D42C3">
        <w:t>.</w:t>
      </w:r>
    </w:p>
    <w:p w14:paraId="52AB3E53" w14:textId="77777777" w:rsidR="00CE08B6" w:rsidRPr="00DB67F8" w:rsidRDefault="00CE08B6" w:rsidP="00CE08B6">
      <w:pPr>
        <w:rPr>
          <w:szCs w:val="24"/>
        </w:rPr>
      </w:pPr>
    </w:p>
    <w:p w14:paraId="52AB3E54" w14:textId="77777777" w:rsidR="00CE08B6" w:rsidRDefault="00CE08B6" w:rsidP="00CE08B6">
      <w:pPr>
        <w:pStyle w:val="Heading1"/>
        <w:ind w:left="0"/>
        <w:rPr>
          <w:lang w:val="id-ID"/>
        </w:rPr>
      </w:pPr>
      <w:r>
        <w:rPr>
          <w:szCs w:val="32"/>
          <w:lang w:val="id-ID"/>
        </w:rPr>
        <w:t>4</w:t>
      </w:r>
      <w:r>
        <w:rPr>
          <w:szCs w:val="32"/>
        </w:rPr>
        <w:t xml:space="preserve">. </w:t>
      </w:r>
      <w:r>
        <w:t>Result and Discussion</w:t>
      </w:r>
    </w:p>
    <w:p w14:paraId="51A816B3" w14:textId="64D14BCC" w:rsidR="00B04E3D" w:rsidRPr="00B04E3D" w:rsidRDefault="00B04E3D" w:rsidP="00B04E3D">
      <w:pPr>
        <w:rPr>
          <w:b/>
          <w:sz w:val="28"/>
          <w:lang w:val="id-ID"/>
        </w:rPr>
      </w:pPr>
      <w:r w:rsidRPr="00B04E3D">
        <w:rPr>
          <w:b/>
          <w:sz w:val="28"/>
          <w:lang w:val="id-ID"/>
        </w:rPr>
        <w:t xml:space="preserve">4.1 </w:t>
      </w:r>
      <w:r w:rsidRPr="00B04E3D">
        <w:rPr>
          <w:b/>
          <w:sz w:val="28"/>
          <w:lang w:val="en-US" w:eastAsia="id-ID"/>
        </w:rPr>
        <w:t>Descriptive Statistics</w:t>
      </w:r>
    </w:p>
    <w:p w14:paraId="51D6B5BA" w14:textId="30672EEA" w:rsidR="00A61E4A" w:rsidRPr="00B04E3D" w:rsidRDefault="00B04E3D" w:rsidP="00B04E3D">
      <w:pPr>
        <w:rPr>
          <w:lang w:val="id-ID"/>
        </w:rPr>
      </w:pPr>
      <w:r w:rsidRPr="00B04E3D">
        <w:rPr>
          <w:lang w:val="en-US"/>
        </w:rPr>
        <w:t>Table 1 presents the descriptive statistics and the correlation matrix. The results show that even though the firm consistently pays cash dividends, it does not guarantee that the firm is free from the undervalued category (0.5915). Interestingly, sample firm make dividend payments even though they experience losses. Furthermore, referring to the correlation value, it can be seen that there is a significant correlation of liquidity, leverage, and profitability which indicates that these three variables are worthy of consideration in the regression modeling in this study.</w:t>
      </w:r>
    </w:p>
    <w:p w14:paraId="00A6ABB4" w14:textId="77777777" w:rsidR="00B04E3D" w:rsidRPr="00B04E3D" w:rsidRDefault="00B04E3D" w:rsidP="00B04E3D">
      <w:pPr>
        <w:rPr>
          <w:lang w:val="en-US"/>
        </w:rPr>
      </w:pPr>
      <w:proofErr w:type="gramStart"/>
      <w:r w:rsidRPr="00B04E3D">
        <w:rPr>
          <w:lang w:val="en-US"/>
        </w:rPr>
        <w:t>Table 1.</w:t>
      </w:r>
      <w:proofErr w:type="gramEnd"/>
      <w:r w:rsidRPr="00B04E3D">
        <w:rPr>
          <w:lang w:val="en-US"/>
        </w:rPr>
        <w:t xml:space="preserve"> </w:t>
      </w:r>
      <w:proofErr w:type="gramStart"/>
      <w:r w:rsidRPr="00B04E3D">
        <w:rPr>
          <w:lang w:val="en-US"/>
        </w:rPr>
        <w:t>Descriptive statistics.</w:t>
      </w:r>
      <w:proofErr w:type="gramEnd"/>
    </w:p>
    <w:tbl>
      <w:tblPr>
        <w:tblW w:w="9266" w:type="dxa"/>
        <w:tblInd w:w="108" w:type="dxa"/>
        <w:tblLook w:val="04A0" w:firstRow="1" w:lastRow="0" w:firstColumn="1" w:lastColumn="0" w:noHBand="0" w:noVBand="1"/>
      </w:tblPr>
      <w:tblGrid>
        <w:gridCol w:w="1427"/>
        <w:gridCol w:w="797"/>
        <w:gridCol w:w="766"/>
        <w:gridCol w:w="840"/>
        <w:gridCol w:w="802"/>
        <w:gridCol w:w="766"/>
        <w:gridCol w:w="866"/>
        <w:gridCol w:w="866"/>
        <w:gridCol w:w="866"/>
        <w:gridCol w:w="866"/>
        <w:gridCol w:w="550"/>
      </w:tblGrid>
      <w:tr w:rsidR="00B04E3D" w:rsidRPr="00B04E3D" w14:paraId="008D0DA2" w14:textId="77777777" w:rsidTr="00B04E3D">
        <w:trPr>
          <w:trHeight w:val="255"/>
        </w:trPr>
        <w:tc>
          <w:tcPr>
            <w:tcW w:w="1427" w:type="dxa"/>
            <w:tcBorders>
              <w:top w:val="single" w:sz="4" w:space="0" w:color="auto"/>
              <w:left w:val="nil"/>
              <w:bottom w:val="single" w:sz="4" w:space="0" w:color="auto"/>
              <w:right w:val="nil"/>
            </w:tcBorders>
            <w:shd w:val="clear" w:color="auto" w:fill="auto"/>
            <w:noWrap/>
            <w:vAlign w:val="bottom"/>
            <w:hideMark/>
          </w:tcPr>
          <w:p w14:paraId="1515CF8B" w14:textId="77777777" w:rsidR="00B04E3D" w:rsidRPr="00B04E3D" w:rsidRDefault="00B04E3D" w:rsidP="00B04E3D">
            <w:pPr>
              <w:rPr>
                <w:sz w:val="20"/>
                <w:szCs w:val="20"/>
                <w:lang w:val="en-US"/>
              </w:rPr>
            </w:pPr>
            <w:r w:rsidRPr="00B04E3D">
              <w:rPr>
                <w:sz w:val="20"/>
                <w:szCs w:val="20"/>
                <w:lang w:val="en-US"/>
              </w:rPr>
              <w:t>Variable</w:t>
            </w:r>
          </w:p>
        </w:tc>
        <w:tc>
          <w:tcPr>
            <w:tcW w:w="797" w:type="dxa"/>
            <w:tcBorders>
              <w:top w:val="single" w:sz="4" w:space="0" w:color="auto"/>
              <w:left w:val="nil"/>
              <w:bottom w:val="single" w:sz="4" w:space="0" w:color="auto"/>
              <w:right w:val="nil"/>
            </w:tcBorders>
            <w:shd w:val="clear" w:color="auto" w:fill="auto"/>
            <w:noWrap/>
            <w:vAlign w:val="bottom"/>
            <w:hideMark/>
          </w:tcPr>
          <w:p w14:paraId="00C7BA7D" w14:textId="77777777" w:rsidR="00B04E3D" w:rsidRPr="00B04E3D" w:rsidRDefault="00B04E3D" w:rsidP="00B04E3D">
            <w:pPr>
              <w:rPr>
                <w:sz w:val="20"/>
                <w:szCs w:val="20"/>
                <w:lang w:val="en-US"/>
              </w:rPr>
            </w:pPr>
            <w:proofErr w:type="spellStart"/>
            <w:r w:rsidRPr="00B04E3D">
              <w:rPr>
                <w:sz w:val="20"/>
                <w:szCs w:val="20"/>
                <w:lang w:val="en-US"/>
              </w:rPr>
              <w:t>Obs</w:t>
            </w:r>
            <w:proofErr w:type="spellEnd"/>
          </w:p>
        </w:tc>
        <w:tc>
          <w:tcPr>
            <w:tcW w:w="620" w:type="dxa"/>
            <w:tcBorders>
              <w:top w:val="single" w:sz="4" w:space="0" w:color="auto"/>
              <w:left w:val="nil"/>
              <w:bottom w:val="single" w:sz="4" w:space="0" w:color="auto"/>
              <w:right w:val="nil"/>
            </w:tcBorders>
            <w:shd w:val="clear" w:color="auto" w:fill="auto"/>
            <w:noWrap/>
            <w:vAlign w:val="bottom"/>
            <w:hideMark/>
          </w:tcPr>
          <w:p w14:paraId="0949EDF8" w14:textId="77777777" w:rsidR="00B04E3D" w:rsidRPr="00B04E3D" w:rsidRDefault="00B04E3D" w:rsidP="00B04E3D">
            <w:pPr>
              <w:rPr>
                <w:sz w:val="20"/>
                <w:szCs w:val="20"/>
                <w:lang w:val="en-US"/>
              </w:rPr>
            </w:pPr>
            <w:r w:rsidRPr="00B04E3D">
              <w:rPr>
                <w:sz w:val="20"/>
                <w:szCs w:val="20"/>
                <w:lang w:val="en-US"/>
              </w:rPr>
              <w:t>Mean</w:t>
            </w:r>
          </w:p>
        </w:tc>
        <w:tc>
          <w:tcPr>
            <w:tcW w:w="840" w:type="dxa"/>
            <w:tcBorders>
              <w:top w:val="single" w:sz="4" w:space="0" w:color="auto"/>
              <w:left w:val="nil"/>
              <w:bottom w:val="single" w:sz="4" w:space="0" w:color="auto"/>
              <w:right w:val="nil"/>
            </w:tcBorders>
            <w:shd w:val="clear" w:color="auto" w:fill="auto"/>
            <w:noWrap/>
            <w:vAlign w:val="bottom"/>
            <w:hideMark/>
          </w:tcPr>
          <w:p w14:paraId="743B06CA" w14:textId="77777777" w:rsidR="00B04E3D" w:rsidRPr="00B04E3D" w:rsidRDefault="00B04E3D" w:rsidP="00B04E3D">
            <w:pPr>
              <w:rPr>
                <w:sz w:val="20"/>
                <w:szCs w:val="20"/>
                <w:lang w:val="en-US"/>
              </w:rPr>
            </w:pPr>
            <w:r w:rsidRPr="00B04E3D">
              <w:rPr>
                <w:sz w:val="20"/>
                <w:szCs w:val="20"/>
                <w:lang w:val="en-US"/>
              </w:rPr>
              <w:t>Std. Dev.</w:t>
            </w:r>
          </w:p>
        </w:tc>
        <w:tc>
          <w:tcPr>
            <w:tcW w:w="802" w:type="dxa"/>
            <w:tcBorders>
              <w:top w:val="single" w:sz="4" w:space="0" w:color="auto"/>
              <w:left w:val="nil"/>
              <w:bottom w:val="single" w:sz="4" w:space="0" w:color="auto"/>
              <w:right w:val="nil"/>
            </w:tcBorders>
            <w:shd w:val="clear" w:color="auto" w:fill="auto"/>
            <w:noWrap/>
            <w:vAlign w:val="bottom"/>
            <w:hideMark/>
          </w:tcPr>
          <w:p w14:paraId="17807037" w14:textId="77777777" w:rsidR="00B04E3D" w:rsidRPr="00B04E3D" w:rsidRDefault="00B04E3D" w:rsidP="00B04E3D">
            <w:pPr>
              <w:rPr>
                <w:sz w:val="20"/>
                <w:szCs w:val="20"/>
                <w:lang w:val="en-US"/>
              </w:rPr>
            </w:pPr>
            <w:r w:rsidRPr="00B04E3D">
              <w:rPr>
                <w:sz w:val="20"/>
                <w:szCs w:val="20"/>
                <w:lang w:val="en-US"/>
              </w:rPr>
              <w:t>Min</w:t>
            </w:r>
          </w:p>
        </w:tc>
        <w:tc>
          <w:tcPr>
            <w:tcW w:w="766" w:type="dxa"/>
            <w:tcBorders>
              <w:top w:val="single" w:sz="4" w:space="0" w:color="auto"/>
              <w:left w:val="nil"/>
              <w:bottom w:val="single" w:sz="4" w:space="0" w:color="auto"/>
              <w:right w:val="nil"/>
            </w:tcBorders>
            <w:shd w:val="clear" w:color="auto" w:fill="auto"/>
            <w:noWrap/>
            <w:vAlign w:val="bottom"/>
            <w:hideMark/>
          </w:tcPr>
          <w:p w14:paraId="355DB922" w14:textId="77777777" w:rsidR="00B04E3D" w:rsidRPr="00B04E3D" w:rsidRDefault="00B04E3D" w:rsidP="00B04E3D">
            <w:pPr>
              <w:rPr>
                <w:sz w:val="20"/>
                <w:szCs w:val="20"/>
                <w:lang w:val="en-US"/>
              </w:rPr>
            </w:pPr>
            <w:r w:rsidRPr="00B04E3D">
              <w:rPr>
                <w:sz w:val="20"/>
                <w:szCs w:val="20"/>
                <w:lang w:val="en-US"/>
              </w:rPr>
              <w:t>Max</w:t>
            </w:r>
          </w:p>
        </w:tc>
        <w:tc>
          <w:tcPr>
            <w:tcW w:w="866" w:type="dxa"/>
            <w:tcBorders>
              <w:top w:val="single" w:sz="4" w:space="0" w:color="auto"/>
              <w:left w:val="nil"/>
              <w:bottom w:val="single" w:sz="4" w:space="0" w:color="auto"/>
              <w:right w:val="nil"/>
            </w:tcBorders>
            <w:shd w:val="clear" w:color="auto" w:fill="auto"/>
            <w:noWrap/>
            <w:vAlign w:val="bottom"/>
            <w:hideMark/>
          </w:tcPr>
          <w:p w14:paraId="67942E4F" w14:textId="77777777" w:rsidR="00B04E3D" w:rsidRPr="00B04E3D" w:rsidRDefault="00B04E3D" w:rsidP="00B04E3D">
            <w:pPr>
              <w:rPr>
                <w:sz w:val="20"/>
                <w:szCs w:val="20"/>
                <w:lang w:val="en-US"/>
              </w:rPr>
            </w:pPr>
            <w:r w:rsidRPr="00B04E3D">
              <w:rPr>
                <w:sz w:val="20"/>
                <w:szCs w:val="20"/>
                <w:lang w:val="en-US"/>
              </w:rPr>
              <w:t>1</w:t>
            </w:r>
          </w:p>
        </w:tc>
        <w:tc>
          <w:tcPr>
            <w:tcW w:w="866" w:type="dxa"/>
            <w:tcBorders>
              <w:top w:val="single" w:sz="4" w:space="0" w:color="auto"/>
              <w:left w:val="nil"/>
              <w:bottom w:val="single" w:sz="4" w:space="0" w:color="auto"/>
              <w:right w:val="nil"/>
            </w:tcBorders>
            <w:shd w:val="clear" w:color="auto" w:fill="auto"/>
            <w:noWrap/>
            <w:vAlign w:val="bottom"/>
            <w:hideMark/>
          </w:tcPr>
          <w:p w14:paraId="3AC16830" w14:textId="77777777" w:rsidR="00B04E3D" w:rsidRPr="00B04E3D" w:rsidRDefault="00B04E3D" w:rsidP="00B04E3D">
            <w:pPr>
              <w:rPr>
                <w:sz w:val="20"/>
                <w:szCs w:val="20"/>
                <w:lang w:val="en-US"/>
              </w:rPr>
            </w:pPr>
            <w:r w:rsidRPr="00B04E3D">
              <w:rPr>
                <w:sz w:val="20"/>
                <w:szCs w:val="20"/>
                <w:lang w:val="en-US"/>
              </w:rPr>
              <w:t>2</w:t>
            </w:r>
          </w:p>
        </w:tc>
        <w:tc>
          <w:tcPr>
            <w:tcW w:w="866" w:type="dxa"/>
            <w:tcBorders>
              <w:top w:val="single" w:sz="4" w:space="0" w:color="auto"/>
              <w:left w:val="nil"/>
              <w:bottom w:val="single" w:sz="4" w:space="0" w:color="auto"/>
              <w:right w:val="nil"/>
            </w:tcBorders>
            <w:shd w:val="clear" w:color="auto" w:fill="auto"/>
            <w:noWrap/>
            <w:vAlign w:val="bottom"/>
            <w:hideMark/>
          </w:tcPr>
          <w:p w14:paraId="28C6CAF6" w14:textId="77777777" w:rsidR="00B04E3D" w:rsidRPr="00B04E3D" w:rsidRDefault="00B04E3D" w:rsidP="00B04E3D">
            <w:pPr>
              <w:rPr>
                <w:sz w:val="20"/>
                <w:szCs w:val="20"/>
                <w:lang w:val="en-US"/>
              </w:rPr>
            </w:pPr>
            <w:r w:rsidRPr="00B04E3D">
              <w:rPr>
                <w:sz w:val="20"/>
                <w:szCs w:val="20"/>
                <w:lang w:val="en-US"/>
              </w:rPr>
              <w:t>3</w:t>
            </w:r>
          </w:p>
        </w:tc>
        <w:tc>
          <w:tcPr>
            <w:tcW w:w="866" w:type="dxa"/>
            <w:tcBorders>
              <w:top w:val="single" w:sz="4" w:space="0" w:color="auto"/>
              <w:left w:val="nil"/>
              <w:bottom w:val="single" w:sz="4" w:space="0" w:color="auto"/>
              <w:right w:val="nil"/>
            </w:tcBorders>
            <w:shd w:val="clear" w:color="auto" w:fill="auto"/>
            <w:noWrap/>
            <w:vAlign w:val="bottom"/>
            <w:hideMark/>
          </w:tcPr>
          <w:p w14:paraId="6D650AD1" w14:textId="77777777" w:rsidR="00B04E3D" w:rsidRPr="00B04E3D" w:rsidRDefault="00B04E3D" w:rsidP="00B04E3D">
            <w:pPr>
              <w:rPr>
                <w:sz w:val="20"/>
                <w:szCs w:val="20"/>
                <w:lang w:val="en-US"/>
              </w:rPr>
            </w:pPr>
            <w:r w:rsidRPr="00B04E3D">
              <w:rPr>
                <w:sz w:val="20"/>
                <w:szCs w:val="20"/>
                <w:lang w:val="en-US"/>
              </w:rPr>
              <w:t>4</w:t>
            </w:r>
          </w:p>
        </w:tc>
        <w:tc>
          <w:tcPr>
            <w:tcW w:w="550" w:type="dxa"/>
            <w:tcBorders>
              <w:top w:val="single" w:sz="4" w:space="0" w:color="auto"/>
              <w:left w:val="nil"/>
              <w:bottom w:val="single" w:sz="4" w:space="0" w:color="auto"/>
              <w:right w:val="nil"/>
            </w:tcBorders>
            <w:shd w:val="clear" w:color="auto" w:fill="auto"/>
            <w:noWrap/>
            <w:vAlign w:val="bottom"/>
            <w:hideMark/>
          </w:tcPr>
          <w:p w14:paraId="585CF0C1" w14:textId="77777777" w:rsidR="00B04E3D" w:rsidRPr="00B04E3D" w:rsidRDefault="00B04E3D" w:rsidP="00B04E3D">
            <w:pPr>
              <w:rPr>
                <w:sz w:val="20"/>
                <w:szCs w:val="20"/>
                <w:lang w:val="en-US"/>
              </w:rPr>
            </w:pPr>
            <w:r w:rsidRPr="00B04E3D">
              <w:rPr>
                <w:sz w:val="20"/>
                <w:szCs w:val="20"/>
                <w:lang w:val="en-US"/>
              </w:rPr>
              <w:t>5</w:t>
            </w:r>
          </w:p>
        </w:tc>
      </w:tr>
      <w:tr w:rsidR="00B04E3D" w:rsidRPr="00B04E3D" w14:paraId="003CDC60" w14:textId="77777777" w:rsidTr="00B04E3D">
        <w:trPr>
          <w:trHeight w:val="135"/>
        </w:trPr>
        <w:tc>
          <w:tcPr>
            <w:tcW w:w="1427" w:type="dxa"/>
            <w:tcBorders>
              <w:top w:val="nil"/>
              <w:left w:val="nil"/>
              <w:bottom w:val="nil"/>
              <w:right w:val="nil"/>
            </w:tcBorders>
            <w:shd w:val="clear" w:color="auto" w:fill="auto"/>
            <w:noWrap/>
            <w:vAlign w:val="bottom"/>
            <w:hideMark/>
          </w:tcPr>
          <w:p w14:paraId="3E50BA72" w14:textId="77777777" w:rsidR="00B04E3D" w:rsidRPr="00B04E3D" w:rsidRDefault="00B04E3D" w:rsidP="00B04E3D">
            <w:pPr>
              <w:rPr>
                <w:sz w:val="20"/>
                <w:szCs w:val="20"/>
                <w:lang w:val="en-US"/>
              </w:rPr>
            </w:pPr>
          </w:p>
        </w:tc>
        <w:tc>
          <w:tcPr>
            <w:tcW w:w="797" w:type="dxa"/>
            <w:tcBorders>
              <w:top w:val="nil"/>
              <w:left w:val="nil"/>
              <w:bottom w:val="nil"/>
              <w:right w:val="nil"/>
            </w:tcBorders>
            <w:shd w:val="clear" w:color="auto" w:fill="auto"/>
            <w:noWrap/>
            <w:vAlign w:val="bottom"/>
            <w:hideMark/>
          </w:tcPr>
          <w:p w14:paraId="3A0D82E7" w14:textId="77777777" w:rsidR="00B04E3D" w:rsidRPr="00B04E3D" w:rsidRDefault="00B04E3D" w:rsidP="00B04E3D">
            <w:pPr>
              <w:rPr>
                <w:sz w:val="20"/>
                <w:szCs w:val="20"/>
                <w:lang w:val="en-US"/>
              </w:rPr>
            </w:pPr>
          </w:p>
        </w:tc>
        <w:tc>
          <w:tcPr>
            <w:tcW w:w="620" w:type="dxa"/>
            <w:tcBorders>
              <w:top w:val="nil"/>
              <w:left w:val="nil"/>
              <w:bottom w:val="nil"/>
              <w:right w:val="nil"/>
            </w:tcBorders>
            <w:shd w:val="clear" w:color="auto" w:fill="auto"/>
            <w:noWrap/>
            <w:vAlign w:val="bottom"/>
            <w:hideMark/>
          </w:tcPr>
          <w:p w14:paraId="3363B4E8" w14:textId="77777777" w:rsidR="00B04E3D" w:rsidRPr="00B04E3D" w:rsidRDefault="00B04E3D" w:rsidP="00B04E3D">
            <w:pPr>
              <w:rPr>
                <w:sz w:val="20"/>
                <w:szCs w:val="20"/>
                <w:lang w:val="en-US"/>
              </w:rPr>
            </w:pPr>
          </w:p>
        </w:tc>
        <w:tc>
          <w:tcPr>
            <w:tcW w:w="840" w:type="dxa"/>
            <w:tcBorders>
              <w:top w:val="nil"/>
              <w:left w:val="nil"/>
              <w:bottom w:val="nil"/>
              <w:right w:val="nil"/>
            </w:tcBorders>
            <w:shd w:val="clear" w:color="auto" w:fill="auto"/>
            <w:noWrap/>
            <w:vAlign w:val="bottom"/>
            <w:hideMark/>
          </w:tcPr>
          <w:p w14:paraId="131FEBB8" w14:textId="77777777" w:rsidR="00B04E3D" w:rsidRPr="00B04E3D" w:rsidRDefault="00B04E3D" w:rsidP="00B04E3D">
            <w:pPr>
              <w:rPr>
                <w:sz w:val="20"/>
                <w:szCs w:val="20"/>
                <w:lang w:val="en-US"/>
              </w:rPr>
            </w:pPr>
          </w:p>
        </w:tc>
        <w:tc>
          <w:tcPr>
            <w:tcW w:w="802" w:type="dxa"/>
            <w:tcBorders>
              <w:top w:val="nil"/>
              <w:left w:val="nil"/>
              <w:bottom w:val="nil"/>
              <w:right w:val="nil"/>
            </w:tcBorders>
            <w:shd w:val="clear" w:color="auto" w:fill="auto"/>
            <w:noWrap/>
            <w:vAlign w:val="bottom"/>
            <w:hideMark/>
          </w:tcPr>
          <w:p w14:paraId="4AA2B79A" w14:textId="77777777" w:rsidR="00B04E3D" w:rsidRPr="00B04E3D" w:rsidRDefault="00B04E3D" w:rsidP="00B04E3D">
            <w:pPr>
              <w:rPr>
                <w:sz w:val="20"/>
                <w:szCs w:val="20"/>
                <w:lang w:val="en-US"/>
              </w:rPr>
            </w:pPr>
          </w:p>
        </w:tc>
        <w:tc>
          <w:tcPr>
            <w:tcW w:w="766" w:type="dxa"/>
            <w:tcBorders>
              <w:top w:val="nil"/>
              <w:left w:val="nil"/>
              <w:bottom w:val="nil"/>
              <w:right w:val="nil"/>
            </w:tcBorders>
            <w:shd w:val="clear" w:color="auto" w:fill="auto"/>
            <w:noWrap/>
            <w:vAlign w:val="bottom"/>
            <w:hideMark/>
          </w:tcPr>
          <w:p w14:paraId="5F6A6CE7"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10E0D195"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1BD4F7AE"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542E8AAD"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188AFF18" w14:textId="77777777" w:rsidR="00B04E3D" w:rsidRPr="00B04E3D" w:rsidRDefault="00B04E3D" w:rsidP="00B04E3D">
            <w:pPr>
              <w:rPr>
                <w:sz w:val="20"/>
                <w:szCs w:val="20"/>
                <w:lang w:val="en-US"/>
              </w:rPr>
            </w:pPr>
          </w:p>
        </w:tc>
        <w:tc>
          <w:tcPr>
            <w:tcW w:w="550" w:type="dxa"/>
            <w:tcBorders>
              <w:top w:val="nil"/>
              <w:left w:val="nil"/>
              <w:bottom w:val="nil"/>
              <w:right w:val="nil"/>
            </w:tcBorders>
            <w:shd w:val="clear" w:color="auto" w:fill="auto"/>
            <w:noWrap/>
            <w:vAlign w:val="bottom"/>
            <w:hideMark/>
          </w:tcPr>
          <w:p w14:paraId="2768F2F1" w14:textId="77777777" w:rsidR="00B04E3D" w:rsidRPr="00B04E3D" w:rsidRDefault="00B04E3D" w:rsidP="00B04E3D">
            <w:pPr>
              <w:rPr>
                <w:sz w:val="20"/>
                <w:szCs w:val="20"/>
                <w:lang w:val="en-US"/>
              </w:rPr>
            </w:pPr>
          </w:p>
        </w:tc>
      </w:tr>
      <w:tr w:rsidR="00B04E3D" w:rsidRPr="00B04E3D" w14:paraId="43875174" w14:textId="77777777" w:rsidTr="00B04E3D">
        <w:trPr>
          <w:trHeight w:val="255"/>
        </w:trPr>
        <w:tc>
          <w:tcPr>
            <w:tcW w:w="1427" w:type="dxa"/>
            <w:tcBorders>
              <w:top w:val="nil"/>
              <w:left w:val="nil"/>
              <w:bottom w:val="nil"/>
              <w:right w:val="nil"/>
            </w:tcBorders>
            <w:shd w:val="clear" w:color="auto" w:fill="auto"/>
            <w:noWrap/>
            <w:vAlign w:val="bottom"/>
            <w:hideMark/>
          </w:tcPr>
          <w:p w14:paraId="39DEF3AA" w14:textId="42AE2956" w:rsidR="00B04E3D" w:rsidRPr="00B04E3D" w:rsidRDefault="00B04E3D" w:rsidP="00B04E3D">
            <w:pPr>
              <w:jc w:val="left"/>
              <w:rPr>
                <w:sz w:val="20"/>
                <w:szCs w:val="20"/>
                <w:lang w:val="en-US"/>
              </w:rPr>
            </w:pPr>
            <w:r>
              <w:rPr>
                <w:sz w:val="20"/>
                <w:szCs w:val="20"/>
                <w:lang w:val="en-US"/>
              </w:rPr>
              <w:t>1. Firm</w:t>
            </w:r>
            <w:r>
              <w:rPr>
                <w:sz w:val="20"/>
                <w:szCs w:val="20"/>
                <w:lang w:val="id-ID"/>
              </w:rPr>
              <w:t xml:space="preserve"> </w:t>
            </w:r>
            <w:r w:rsidRPr="00B04E3D">
              <w:rPr>
                <w:sz w:val="20"/>
                <w:szCs w:val="20"/>
                <w:lang w:val="en-US"/>
              </w:rPr>
              <w:t>Value</w:t>
            </w:r>
          </w:p>
        </w:tc>
        <w:tc>
          <w:tcPr>
            <w:tcW w:w="797" w:type="dxa"/>
            <w:tcBorders>
              <w:top w:val="nil"/>
              <w:left w:val="nil"/>
              <w:bottom w:val="nil"/>
              <w:right w:val="nil"/>
            </w:tcBorders>
            <w:shd w:val="clear" w:color="auto" w:fill="auto"/>
            <w:noWrap/>
            <w:vAlign w:val="bottom"/>
            <w:hideMark/>
          </w:tcPr>
          <w:p w14:paraId="3936A1B8" w14:textId="77777777" w:rsidR="00B04E3D" w:rsidRPr="00B04E3D" w:rsidRDefault="00B04E3D" w:rsidP="00B04E3D">
            <w:pPr>
              <w:rPr>
                <w:sz w:val="20"/>
                <w:szCs w:val="20"/>
                <w:lang w:val="en-US"/>
              </w:rPr>
            </w:pPr>
            <w:r w:rsidRPr="00B04E3D">
              <w:rPr>
                <w:sz w:val="20"/>
                <w:szCs w:val="20"/>
                <w:lang w:val="en-US"/>
              </w:rPr>
              <w:t>95</w:t>
            </w:r>
          </w:p>
        </w:tc>
        <w:tc>
          <w:tcPr>
            <w:tcW w:w="620" w:type="dxa"/>
            <w:tcBorders>
              <w:top w:val="nil"/>
              <w:left w:val="nil"/>
              <w:bottom w:val="nil"/>
              <w:right w:val="nil"/>
            </w:tcBorders>
            <w:shd w:val="clear" w:color="auto" w:fill="auto"/>
            <w:noWrap/>
            <w:vAlign w:val="bottom"/>
            <w:hideMark/>
          </w:tcPr>
          <w:p w14:paraId="7FE6D35A" w14:textId="77777777" w:rsidR="00B04E3D" w:rsidRPr="00B04E3D" w:rsidRDefault="00B04E3D" w:rsidP="00B04E3D">
            <w:pPr>
              <w:rPr>
                <w:sz w:val="20"/>
                <w:szCs w:val="20"/>
                <w:lang w:val="en-US"/>
              </w:rPr>
            </w:pPr>
            <w:r w:rsidRPr="00B04E3D">
              <w:rPr>
                <w:sz w:val="20"/>
                <w:szCs w:val="20"/>
                <w:lang w:val="en-US"/>
              </w:rPr>
              <w:t>1.7397</w:t>
            </w:r>
          </w:p>
        </w:tc>
        <w:tc>
          <w:tcPr>
            <w:tcW w:w="840" w:type="dxa"/>
            <w:tcBorders>
              <w:top w:val="nil"/>
              <w:left w:val="nil"/>
              <w:bottom w:val="nil"/>
              <w:right w:val="nil"/>
            </w:tcBorders>
            <w:shd w:val="clear" w:color="auto" w:fill="auto"/>
            <w:noWrap/>
            <w:vAlign w:val="bottom"/>
            <w:hideMark/>
          </w:tcPr>
          <w:p w14:paraId="554716C9" w14:textId="77777777" w:rsidR="00B04E3D" w:rsidRPr="00B04E3D" w:rsidRDefault="00B04E3D" w:rsidP="00B04E3D">
            <w:pPr>
              <w:rPr>
                <w:sz w:val="20"/>
                <w:szCs w:val="20"/>
                <w:lang w:val="en-US"/>
              </w:rPr>
            </w:pPr>
            <w:r w:rsidRPr="00B04E3D">
              <w:rPr>
                <w:sz w:val="20"/>
                <w:szCs w:val="20"/>
                <w:lang w:val="en-US"/>
              </w:rPr>
              <w:t>0.9706</w:t>
            </w:r>
          </w:p>
        </w:tc>
        <w:tc>
          <w:tcPr>
            <w:tcW w:w="802" w:type="dxa"/>
            <w:tcBorders>
              <w:top w:val="nil"/>
              <w:left w:val="nil"/>
              <w:bottom w:val="nil"/>
              <w:right w:val="nil"/>
            </w:tcBorders>
            <w:shd w:val="clear" w:color="auto" w:fill="auto"/>
            <w:noWrap/>
            <w:vAlign w:val="bottom"/>
            <w:hideMark/>
          </w:tcPr>
          <w:p w14:paraId="2341F6DC" w14:textId="77777777" w:rsidR="00B04E3D" w:rsidRPr="00B04E3D" w:rsidRDefault="00B04E3D" w:rsidP="00B04E3D">
            <w:pPr>
              <w:rPr>
                <w:sz w:val="20"/>
                <w:szCs w:val="20"/>
                <w:lang w:val="en-US"/>
              </w:rPr>
            </w:pPr>
            <w:r w:rsidRPr="00B04E3D">
              <w:rPr>
                <w:sz w:val="20"/>
                <w:szCs w:val="20"/>
                <w:lang w:val="en-US"/>
              </w:rPr>
              <w:t>0.5915</w:t>
            </w:r>
          </w:p>
        </w:tc>
        <w:tc>
          <w:tcPr>
            <w:tcW w:w="766" w:type="dxa"/>
            <w:tcBorders>
              <w:top w:val="nil"/>
              <w:left w:val="nil"/>
              <w:bottom w:val="nil"/>
              <w:right w:val="nil"/>
            </w:tcBorders>
            <w:shd w:val="clear" w:color="auto" w:fill="auto"/>
            <w:noWrap/>
            <w:vAlign w:val="bottom"/>
            <w:hideMark/>
          </w:tcPr>
          <w:p w14:paraId="34A82798" w14:textId="77777777" w:rsidR="00B04E3D" w:rsidRPr="00B04E3D" w:rsidRDefault="00B04E3D" w:rsidP="00B04E3D">
            <w:pPr>
              <w:rPr>
                <w:sz w:val="20"/>
                <w:szCs w:val="20"/>
                <w:lang w:val="en-US"/>
              </w:rPr>
            </w:pPr>
            <w:r w:rsidRPr="00B04E3D">
              <w:rPr>
                <w:sz w:val="20"/>
                <w:szCs w:val="20"/>
                <w:lang w:val="en-US"/>
              </w:rPr>
              <w:t>4.2478</w:t>
            </w:r>
          </w:p>
        </w:tc>
        <w:tc>
          <w:tcPr>
            <w:tcW w:w="866" w:type="dxa"/>
            <w:tcBorders>
              <w:top w:val="nil"/>
              <w:left w:val="nil"/>
              <w:bottom w:val="nil"/>
              <w:right w:val="nil"/>
            </w:tcBorders>
            <w:shd w:val="clear" w:color="auto" w:fill="auto"/>
            <w:noWrap/>
            <w:vAlign w:val="bottom"/>
            <w:hideMark/>
          </w:tcPr>
          <w:p w14:paraId="3203CB9C" w14:textId="77777777" w:rsidR="00B04E3D" w:rsidRPr="00B04E3D" w:rsidRDefault="00B04E3D" w:rsidP="00B04E3D">
            <w:pPr>
              <w:rPr>
                <w:sz w:val="20"/>
                <w:szCs w:val="20"/>
                <w:lang w:val="en-US"/>
              </w:rPr>
            </w:pPr>
            <w:r w:rsidRPr="00B04E3D">
              <w:rPr>
                <w:sz w:val="20"/>
                <w:szCs w:val="20"/>
                <w:lang w:val="en-US"/>
              </w:rPr>
              <w:t xml:space="preserve">1 </w:t>
            </w:r>
          </w:p>
        </w:tc>
        <w:tc>
          <w:tcPr>
            <w:tcW w:w="866" w:type="dxa"/>
            <w:tcBorders>
              <w:top w:val="nil"/>
              <w:left w:val="nil"/>
              <w:bottom w:val="nil"/>
              <w:right w:val="nil"/>
            </w:tcBorders>
            <w:shd w:val="clear" w:color="auto" w:fill="auto"/>
            <w:noWrap/>
            <w:vAlign w:val="bottom"/>
            <w:hideMark/>
          </w:tcPr>
          <w:p w14:paraId="56A6EDE5"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5D015C4E"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183F0EAE" w14:textId="77777777" w:rsidR="00B04E3D" w:rsidRPr="00B04E3D" w:rsidRDefault="00B04E3D" w:rsidP="00B04E3D">
            <w:pPr>
              <w:rPr>
                <w:sz w:val="20"/>
                <w:szCs w:val="20"/>
                <w:lang w:val="en-US"/>
              </w:rPr>
            </w:pPr>
          </w:p>
        </w:tc>
        <w:tc>
          <w:tcPr>
            <w:tcW w:w="550" w:type="dxa"/>
            <w:tcBorders>
              <w:top w:val="nil"/>
              <w:left w:val="nil"/>
              <w:bottom w:val="nil"/>
              <w:right w:val="nil"/>
            </w:tcBorders>
            <w:shd w:val="clear" w:color="auto" w:fill="auto"/>
            <w:noWrap/>
            <w:vAlign w:val="bottom"/>
            <w:hideMark/>
          </w:tcPr>
          <w:p w14:paraId="4622E3BB" w14:textId="77777777" w:rsidR="00B04E3D" w:rsidRPr="00B04E3D" w:rsidRDefault="00B04E3D" w:rsidP="00B04E3D">
            <w:pPr>
              <w:rPr>
                <w:sz w:val="20"/>
                <w:szCs w:val="20"/>
                <w:lang w:val="en-US"/>
              </w:rPr>
            </w:pPr>
          </w:p>
        </w:tc>
      </w:tr>
      <w:tr w:rsidR="00B04E3D" w:rsidRPr="00B04E3D" w14:paraId="66987E22" w14:textId="77777777" w:rsidTr="00B04E3D">
        <w:trPr>
          <w:trHeight w:val="255"/>
        </w:trPr>
        <w:tc>
          <w:tcPr>
            <w:tcW w:w="1427" w:type="dxa"/>
            <w:tcBorders>
              <w:top w:val="nil"/>
              <w:left w:val="nil"/>
              <w:bottom w:val="nil"/>
              <w:right w:val="nil"/>
            </w:tcBorders>
            <w:shd w:val="clear" w:color="auto" w:fill="auto"/>
            <w:noWrap/>
            <w:vAlign w:val="bottom"/>
            <w:hideMark/>
          </w:tcPr>
          <w:p w14:paraId="394CA4C9" w14:textId="77777777" w:rsidR="00B04E3D" w:rsidRPr="00B04E3D" w:rsidRDefault="00B04E3D" w:rsidP="00B04E3D">
            <w:pPr>
              <w:rPr>
                <w:sz w:val="20"/>
                <w:szCs w:val="20"/>
                <w:lang w:val="en-US"/>
              </w:rPr>
            </w:pPr>
            <w:r w:rsidRPr="00B04E3D">
              <w:rPr>
                <w:sz w:val="20"/>
                <w:szCs w:val="20"/>
                <w:lang w:val="en-US"/>
              </w:rPr>
              <w:t>2. Dividend</w:t>
            </w:r>
          </w:p>
        </w:tc>
        <w:tc>
          <w:tcPr>
            <w:tcW w:w="797" w:type="dxa"/>
            <w:tcBorders>
              <w:top w:val="nil"/>
              <w:left w:val="nil"/>
              <w:bottom w:val="nil"/>
              <w:right w:val="nil"/>
            </w:tcBorders>
            <w:shd w:val="clear" w:color="auto" w:fill="auto"/>
            <w:noWrap/>
            <w:vAlign w:val="bottom"/>
            <w:hideMark/>
          </w:tcPr>
          <w:p w14:paraId="4C5A7E19" w14:textId="77777777" w:rsidR="00B04E3D" w:rsidRPr="00B04E3D" w:rsidRDefault="00B04E3D" w:rsidP="00B04E3D">
            <w:pPr>
              <w:rPr>
                <w:sz w:val="20"/>
                <w:szCs w:val="20"/>
                <w:lang w:val="en-US"/>
              </w:rPr>
            </w:pPr>
            <w:r w:rsidRPr="00B04E3D">
              <w:rPr>
                <w:sz w:val="20"/>
                <w:szCs w:val="20"/>
                <w:lang w:val="en-US"/>
              </w:rPr>
              <w:t>95</w:t>
            </w:r>
          </w:p>
        </w:tc>
        <w:tc>
          <w:tcPr>
            <w:tcW w:w="620" w:type="dxa"/>
            <w:tcBorders>
              <w:top w:val="nil"/>
              <w:left w:val="nil"/>
              <w:bottom w:val="nil"/>
              <w:right w:val="nil"/>
            </w:tcBorders>
            <w:shd w:val="clear" w:color="auto" w:fill="auto"/>
            <w:noWrap/>
            <w:vAlign w:val="bottom"/>
            <w:hideMark/>
          </w:tcPr>
          <w:p w14:paraId="46A45F12" w14:textId="77777777" w:rsidR="00B04E3D" w:rsidRPr="00B04E3D" w:rsidRDefault="00B04E3D" w:rsidP="00B04E3D">
            <w:pPr>
              <w:rPr>
                <w:sz w:val="20"/>
                <w:szCs w:val="20"/>
                <w:lang w:val="en-US"/>
              </w:rPr>
            </w:pPr>
            <w:r w:rsidRPr="00B04E3D">
              <w:rPr>
                <w:sz w:val="20"/>
                <w:szCs w:val="20"/>
                <w:lang w:val="en-US"/>
              </w:rPr>
              <w:t>0.3273</w:t>
            </w:r>
          </w:p>
        </w:tc>
        <w:tc>
          <w:tcPr>
            <w:tcW w:w="840" w:type="dxa"/>
            <w:tcBorders>
              <w:top w:val="nil"/>
              <w:left w:val="nil"/>
              <w:bottom w:val="nil"/>
              <w:right w:val="nil"/>
            </w:tcBorders>
            <w:shd w:val="clear" w:color="auto" w:fill="auto"/>
            <w:noWrap/>
            <w:vAlign w:val="bottom"/>
            <w:hideMark/>
          </w:tcPr>
          <w:p w14:paraId="2AE01526" w14:textId="77777777" w:rsidR="00B04E3D" w:rsidRPr="00B04E3D" w:rsidRDefault="00B04E3D" w:rsidP="00B04E3D">
            <w:pPr>
              <w:rPr>
                <w:sz w:val="20"/>
                <w:szCs w:val="20"/>
                <w:lang w:val="en-US"/>
              </w:rPr>
            </w:pPr>
            <w:r w:rsidRPr="00B04E3D">
              <w:rPr>
                <w:sz w:val="20"/>
                <w:szCs w:val="20"/>
                <w:lang w:val="en-US"/>
              </w:rPr>
              <w:t>0.8321</w:t>
            </w:r>
          </w:p>
        </w:tc>
        <w:tc>
          <w:tcPr>
            <w:tcW w:w="802" w:type="dxa"/>
            <w:tcBorders>
              <w:top w:val="nil"/>
              <w:left w:val="nil"/>
              <w:bottom w:val="nil"/>
              <w:right w:val="nil"/>
            </w:tcBorders>
            <w:shd w:val="clear" w:color="auto" w:fill="auto"/>
            <w:noWrap/>
            <w:vAlign w:val="bottom"/>
            <w:hideMark/>
          </w:tcPr>
          <w:p w14:paraId="719823F3" w14:textId="04289787" w:rsidR="00B04E3D" w:rsidRPr="00B04E3D" w:rsidRDefault="00B04E3D" w:rsidP="00B04E3D">
            <w:pPr>
              <w:rPr>
                <w:sz w:val="20"/>
                <w:szCs w:val="20"/>
                <w:lang w:val="en-US"/>
              </w:rPr>
            </w:pPr>
            <w:r w:rsidRPr="00B04E3D">
              <w:rPr>
                <w:sz w:val="20"/>
                <w:szCs w:val="20"/>
                <w:lang w:val="en-US"/>
              </w:rPr>
              <w:t>5.4129</w:t>
            </w:r>
          </w:p>
        </w:tc>
        <w:tc>
          <w:tcPr>
            <w:tcW w:w="766" w:type="dxa"/>
            <w:tcBorders>
              <w:top w:val="nil"/>
              <w:left w:val="nil"/>
              <w:bottom w:val="nil"/>
              <w:right w:val="nil"/>
            </w:tcBorders>
            <w:shd w:val="clear" w:color="auto" w:fill="auto"/>
            <w:noWrap/>
            <w:vAlign w:val="bottom"/>
            <w:hideMark/>
          </w:tcPr>
          <w:p w14:paraId="74A8169D" w14:textId="77777777" w:rsidR="00B04E3D" w:rsidRPr="00B04E3D" w:rsidRDefault="00B04E3D" w:rsidP="00B04E3D">
            <w:pPr>
              <w:rPr>
                <w:sz w:val="20"/>
                <w:szCs w:val="20"/>
                <w:lang w:val="en-US"/>
              </w:rPr>
            </w:pPr>
            <w:r w:rsidRPr="00B04E3D">
              <w:rPr>
                <w:sz w:val="20"/>
                <w:szCs w:val="20"/>
                <w:lang w:val="en-US"/>
              </w:rPr>
              <w:t>3.9251</w:t>
            </w:r>
          </w:p>
        </w:tc>
        <w:tc>
          <w:tcPr>
            <w:tcW w:w="866" w:type="dxa"/>
            <w:tcBorders>
              <w:top w:val="nil"/>
              <w:left w:val="nil"/>
              <w:bottom w:val="nil"/>
              <w:right w:val="nil"/>
            </w:tcBorders>
            <w:shd w:val="clear" w:color="auto" w:fill="auto"/>
            <w:noWrap/>
            <w:vAlign w:val="bottom"/>
            <w:hideMark/>
          </w:tcPr>
          <w:p w14:paraId="6F787041" w14:textId="77777777" w:rsidR="00B04E3D" w:rsidRPr="00B04E3D" w:rsidRDefault="00B04E3D" w:rsidP="00B04E3D">
            <w:pPr>
              <w:rPr>
                <w:sz w:val="20"/>
                <w:szCs w:val="20"/>
                <w:lang w:val="en-US"/>
              </w:rPr>
            </w:pPr>
            <w:r w:rsidRPr="00B04E3D">
              <w:rPr>
                <w:sz w:val="20"/>
                <w:szCs w:val="20"/>
                <w:lang w:val="en-US"/>
              </w:rPr>
              <w:t>0.1277</w:t>
            </w:r>
          </w:p>
        </w:tc>
        <w:tc>
          <w:tcPr>
            <w:tcW w:w="866" w:type="dxa"/>
            <w:tcBorders>
              <w:top w:val="nil"/>
              <w:left w:val="nil"/>
              <w:bottom w:val="nil"/>
              <w:right w:val="nil"/>
            </w:tcBorders>
            <w:shd w:val="clear" w:color="auto" w:fill="auto"/>
            <w:noWrap/>
            <w:vAlign w:val="bottom"/>
            <w:hideMark/>
          </w:tcPr>
          <w:p w14:paraId="7A776B1D" w14:textId="77777777" w:rsidR="00B04E3D" w:rsidRPr="00B04E3D" w:rsidRDefault="00B04E3D" w:rsidP="00B04E3D">
            <w:pPr>
              <w:rPr>
                <w:sz w:val="20"/>
                <w:szCs w:val="20"/>
                <w:lang w:val="en-US"/>
              </w:rPr>
            </w:pPr>
            <w:r w:rsidRPr="00B04E3D">
              <w:rPr>
                <w:sz w:val="20"/>
                <w:szCs w:val="20"/>
                <w:lang w:val="en-US"/>
              </w:rPr>
              <w:t xml:space="preserve">1 </w:t>
            </w:r>
          </w:p>
        </w:tc>
        <w:tc>
          <w:tcPr>
            <w:tcW w:w="866" w:type="dxa"/>
            <w:tcBorders>
              <w:top w:val="nil"/>
              <w:left w:val="nil"/>
              <w:bottom w:val="nil"/>
              <w:right w:val="nil"/>
            </w:tcBorders>
            <w:shd w:val="clear" w:color="auto" w:fill="auto"/>
            <w:noWrap/>
            <w:vAlign w:val="bottom"/>
            <w:hideMark/>
          </w:tcPr>
          <w:p w14:paraId="52554154" w14:textId="77777777" w:rsidR="00B04E3D" w:rsidRPr="00B04E3D" w:rsidRDefault="00B04E3D" w:rsidP="00B04E3D">
            <w:pPr>
              <w:rPr>
                <w:sz w:val="20"/>
                <w:szCs w:val="20"/>
                <w:lang w:val="en-US"/>
              </w:rPr>
            </w:pPr>
          </w:p>
        </w:tc>
        <w:tc>
          <w:tcPr>
            <w:tcW w:w="866" w:type="dxa"/>
            <w:tcBorders>
              <w:top w:val="nil"/>
              <w:left w:val="nil"/>
              <w:bottom w:val="nil"/>
              <w:right w:val="nil"/>
            </w:tcBorders>
            <w:shd w:val="clear" w:color="auto" w:fill="auto"/>
            <w:noWrap/>
            <w:vAlign w:val="bottom"/>
            <w:hideMark/>
          </w:tcPr>
          <w:p w14:paraId="2BB80EDB" w14:textId="77777777" w:rsidR="00B04E3D" w:rsidRPr="00B04E3D" w:rsidRDefault="00B04E3D" w:rsidP="00B04E3D">
            <w:pPr>
              <w:rPr>
                <w:sz w:val="20"/>
                <w:szCs w:val="20"/>
                <w:lang w:val="en-US"/>
              </w:rPr>
            </w:pPr>
          </w:p>
        </w:tc>
        <w:tc>
          <w:tcPr>
            <w:tcW w:w="550" w:type="dxa"/>
            <w:tcBorders>
              <w:top w:val="nil"/>
              <w:left w:val="nil"/>
              <w:bottom w:val="nil"/>
              <w:right w:val="nil"/>
            </w:tcBorders>
            <w:shd w:val="clear" w:color="auto" w:fill="auto"/>
            <w:noWrap/>
            <w:vAlign w:val="bottom"/>
            <w:hideMark/>
          </w:tcPr>
          <w:p w14:paraId="4F1EAB25" w14:textId="77777777" w:rsidR="00B04E3D" w:rsidRPr="00B04E3D" w:rsidRDefault="00B04E3D" w:rsidP="00B04E3D">
            <w:pPr>
              <w:rPr>
                <w:sz w:val="20"/>
                <w:szCs w:val="20"/>
                <w:lang w:val="en-US"/>
              </w:rPr>
            </w:pPr>
          </w:p>
        </w:tc>
      </w:tr>
      <w:tr w:rsidR="00B04E3D" w:rsidRPr="00B04E3D" w14:paraId="7D3D6D3F" w14:textId="77777777" w:rsidTr="00B04E3D">
        <w:trPr>
          <w:trHeight w:val="255"/>
        </w:trPr>
        <w:tc>
          <w:tcPr>
            <w:tcW w:w="1427" w:type="dxa"/>
            <w:tcBorders>
              <w:top w:val="nil"/>
              <w:left w:val="nil"/>
              <w:bottom w:val="nil"/>
              <w:right w:val="nil"/>
            </w:tcBorders>
            <w:shd w:val="clear" w:color="auto" w:fill="auto"/>
            <w:noWrap/>
            <w:vAlign w:val="bottom"/>
            <w:hideMark/>
          </w:tcPr>
          <w:p w14:paraId="032BDA70" w14:textId="77777777" w:rsidR="00B04E3D" w:rsidRPr="00B04E3D" w:rsidRDefault="00B04E3D" w:rsidP="00B04E3D">
            <w:pPr>
              <w:rPr>
                <w:sz w:val="20"/>
                <w:szCs w:val="20"/>
                <w:lang w:val="en-US"/>
              </w:rPr>
            </w:pPr>
            <w:r w:rsidRPr="00B04E3D">
              <w:rPr>
                <w:sz w:val="20"/>
                <w:szCs w:val="20"/>
                <w:lang w:val="en-US"/>
              </w:rPr>
              <w:t>3. Liquidity</w:t>
            </w:r>
          </w:p>
        </w:tc>
        <w:tc>
          <w:tcPr>
            <w:tcW w:w="797" w:type="dxa"/>
            <w:tcBorders>
              <w:top w:val="nil"/>
              <w:left w:val="nil"/>
              <w:bottom w:val="nil"/>
              <w:right w:val="nil"/>
            </w:tcBorders>
            <w:shd w:val="clear" w:color="auto" w:fill="auto"/>
            <w:noWrap/>
            <w:vAlign w:val="bottom"/>
            <w:hideMark/>
          </w:tcPr>
          <w:p w14:paraId="4467A65F" w14:textId="77777777" w:rsidR="00B04E3D" w:rsidRPr="00B04E3D" w:rsidRDefault="00B04E3D" w:rsidP="00B04E3D">
            <w:pPr>
              <w:rPr>
                <w:sz w:val="20"/>
                <w:szCs w:val="20"/>
                <w:lang w:val="en-US"/>
              </w:rPr>
            </w:pPr>
            <w:r w:rsidRPr="00B04E3D">
              <w:rPr>
                <w:sz w:val="20"/>
                <w:szCs w:val="20"/>
                <w:lang w:val="en-US"/>
              </w:rPr>
              <w:t>95</w:t>
            </w:r>
          </w:p>
        </w:tc>
        <w:tc>
          <w:tcPr>
            <w:tcW w:w="620" w:type="dxa"/>
            <w:tcBorders>
              <w:top w:val="nil"/>
              <w:left w:val="nil"/>
              <w:bottom w:val="nil"/>
              <w:right w:val="nil"/>
            </w:tcBorders>
            <w:shd w:val="clear" w:color="auto" w:fill="auto"/>
            <w:noWrap/>
            <w:vAlign w:val="bottom"/>
            <w:hideMark/>
          </w:tcPr>
          <w:p w14:paraId="57666061" w14:textId="77777777" w:rsidR="00B04E3D" w:rsidRPr="00B04E3D" w:rsidRDefault="00B04E3D" w:rsidP="00B04E3D">
            <w:pPr>
              <w:rPr>
                <w:sz w:val="20"/>
                <w:szCs w:val="20"/>
                <w:lang w:val="en-US"/>
              </w:rPr>
            </w:pPr>
            <w:r w:rsidRPr="00B04E3D">
              <w:rPr>
                <w:sz w:val="20"/>
                <w:szCs w:val="20"/>
                <w:lang w:val="en-US"/>
              </w:rPr>
              <w:t>2.4375</w:t>
            </w:r>
          </w:p>
        </w:tc>
        <w:tc>
          <w:tcPr>
            <w:tcW w:w="840" w:type="dxa"/>
            <w:tcBorders>
              <w:top w:val="nil"/>
              <w:left w:val="nil"/>
              <w:bottom w:val="nil"/>
              <w:right w:val="nil"/>
            </w:tcBorders>
            <w:shd w:val="clear" w:color="auto" w:fill="auto"/>
            <w:noWrap/>
            <w:vAlign w:val="bottom"/>
            <w:hideMark/>
          </w:tcPr>
          <w:p w14:paraId="0D8C603A" w14:textId="77777777" w:rsidR="00B04E3D" w:rsidRPr="00B04E3D" w:rsidRDefault="00B04E3D" w:rsidP="00B04E3D">
            <w:pPr>
              <w:rPr>
                <w:sz w:val="20"/>
                <w:szCs w:val="20"/>
                <w:lang w:val="en-US"/>
              </w:rPr>
            </w:pPr>
            <w:r w:rsidRPr="00B04E3D">
              <w:rPr>
                <w:sz w:val="20"/>
                <w:szCs w:val="20"/>
                <w:lang w:val="en-US"/>
              </w:rPr>
              <w:t>1.8256</w:t>
            </w:r>
          </w:p>
        </w:tc>
        <w:tc>
          <w:tcPr>
            <w:tcW w:w="802" w:type="dxa"/>
            <w:tcBorders>
              <w:top w:val="nil"/>
              <w:left w:val="nil"/>
              <w:bottom w:val="nil"/>
              <w:right w:val="nil"/>
            </w:tcBorders>
            <w:shd w:val="clear" w:color="auto" w:fill="auto"/>
            <w:noWrap/>
            <w:vAlign w:val="bottom"/>
            <w:hideMark/>
          </w:tcPr>
          <w:p w14:paraId="5D5455A1" w14:textId="77777777" w:rsidR="00B04E3D" w:rsidRPr="00B04E3D" w:rsidRDefault="00B04E3D" w:rsidP="00B04E3D">
            <w:pPr>
              <w:rPr>
                <w:sz w:val="20"/>
                <w:szCs w:val="20"/>
                <w:lang w:val="en-US"/>
              </w:rPr>
            </w:pPr>
            <w:r w:rsidRPr="00B04E3D">
              <w:rPr>
                <w:sz w:val="20"/>
                <w:szCs w:val="20"/>
                <w:lang w:val="en-US"/>
              </w:rPr>
              <w:t>0.2255</w:t>
            </w:r>
          </w:p>
        </w:tc>
        <w:tc>
          <w:tcPr>
            <w:tcW w:w="766" w:type="dxa"/>
            <w:tcBorders>
              <w:top w:val="nil"/>
              <w:left w:val="nil"/>
              <w:bottom w:val="nil"/>
              <w:right w:val="nil"/>
            </w:tcBorders>
            <w:shd w:val="clear" w:color="auto" w:fill="auto"/>
            <w:noWrap/>
            <w:vAlign w:val="bottom"/>
            <w:hideMark/>
          </w:tcPr>
          <w:p w14:paraId="0765E30C" w14:textId="77777777" w:rsidR="00B04E3D" w:rsidRPr="00B04E3D" w:rsidRDefault="00B04E3D" w:rsidP="00B04E3D">
            <w:pPr>
              <w:rPr>
                <w:sz w:val="20"/>
                <w:szCs w:val="20"/>
                <w:lang w:val="en-US"/>
              </w:rPr>
            </w:pPr>
            <w:r w:rsidRPr="00B04E3D">
              <w:rPr>
                <w:sz w:val="20"/>
                <w:szCs w:val="20"/>
                <w:lang w:val="en-US"/>
              </w:rPr>
              <w:t>8.6378</w:t>
            </w:r>
          </w:p>
        </w:tc>
        <w:tc>
          <w:tcPr>
            <w:tcW w:w="866" w:type="dxa"/>
            <w:tcBorders>
              <w:top w:val="nil"/>
              <w:left w:val="nil"/>
              <w:bottom w:val="nil"/>
              <w:right w:val="nil"/>
            </w:tcBorders>
            <w:shd w:val="clear" w:color="auto" w:fill="auto"/>
            <w:noWrap/>
            <w:vAlign w:val="bottom"/>
            <w:hideMark/>
          </w:tcPr>
          <w:p w14:paraId="6AC409DD" w14:textId="77777777" w:rsidR="00B04E3D" w:rsidRPr="00B04E3D" w:rsidRDefault="00B04E3D" w:rsidP="00B04E3D">
            <w:pPr>
              <w:rPr>
                <w:sz w:val="20"/>
                <w:szCs w:val="20"/>
                <w:lang w:val="en-US"/>
              </w:rPr>
            </w:pPr>
            <w:r w:rsidRPr="00B04E3D">
              <w:rPr>
                <w:sz w:val="20"/>
                <w:szCs w:val="20"/>
                <w:lang w:val="en-US"/>
              </w:rPr>
              <w:t>0.4898*</w:t>
            </w:r>
          </w:p>
        </w:tc>
        <w:tc>
          <w:tcPr>
            <w:tcW w:w="866" w:type="dxa"/>
            <w:tcBorders>
              <w:top w:val="nil"/>
              <w:left w:val="nil"/>
              <w:bottom w:val="nil"/>
              <w:right w:val="nil"/>
            </w:tcBorders>
            <w:shd w:val="clear" w:color="auto" w:fill="auto"/>
            <w:noWrap/>
            <w:vAlign w:val="bottom"/>
            <w:hideMark/>
          </w:tcPr>
          <w:p w14:paraId="7DBB6090" w14:textId="77777777" w:rsidR="00B04E3D" w:rsidRPr="00B04E3D" w:rsidRDefault="00B04E3D" w:rsidP="00B04E3D">
            <w:pPr>
              <w:rPr>
                <w:sz w:val="20"/>
                <w:szCs w:val="20"/>
                <w:lang w:val="en-US"/>
              </w:rPr>
            </w:pPr>
            <w:r w:rsidRPr="00B04E3D">
              <w:rPr>
                <w:sz w:val="20"/>
                <w:szCs w:val="20"/>
                <w:lang w:val="en-US"/>
              </w:rPr>
              <w:t>0.2064*</w:t>
            </w:r>
          </w:p>
        </w:tc>
        <w:tc>
          <w:tcPr>
            <w:tcW w:w="866" w:type="dxa"/>
            <w:tcBorders>
              <w:top w:val="nil"/>
              <w:left w:val="nil"/>
              <w:bottom w:val="nil"/>
              <w:right w:val="nil"/>
            </w:tcBorders>
            <w:shd w:val="clear" w:color="auto" w:fill="auto"/>
            <w:noWrap/>
            <w:vAlign w:val="bottom"/>
            <w:hideMark/>
          </w:tcPr>
          <w:p w14:paraId="18746921" w14:textId="77777777" w:rsidR="00B04E3D" w:rsidRPr="00B04E3D" w:rsidRDefault="00B04E3D" w:rsidP="00B04E3D">
            <w:pPr>
              <w:rPr>
                <w:sz w:val="20"/>
                <w:szCs w:val="20"/>
                <w:lang w:val="en-US"/>
              </w:rPr>
            </w:pPr>
            <w:r w:rsidRPr="00B04E3D">
              <w:rPr>
                <w:sz w:val="20"/>
                <w:szCs w:val="20"/>
                <w:lang w:val="en-US"/>
              </w:rPr>
              <w:t xml:space="preserve">1 </w:t>
            </w:r>
          </w:p>
        </w:tc>
        <w:tc>
          <w:tcPr>
            <w:tcW w:w="866" w:type="dxa"/>
            <w:tcBorders>
              <w:top w:val="nil"/>
              <w:left w:val="nil"/>
              <w:bottom w:val="nil"/>
              <w:right w:val="nil"/>
            </w:tcBorders>
            <w:shd w:val="clear" w:color="auto" w:fill="auto"/>
            <w:noWrap/>
            <w:vAlign w:val="bottom"/>
            <w:hideMark/>
          </w:tcPr>
          <w:p w14:paraId="44F1D15C" w14:textId="77777777" w:rsidR="00B04E3D" w:rsidRPr="00B04E3D" w:rsidRDefault="00B04E3D" w:rsidP="00B04E3D">
            <w:pPr>
              <w:rPr>
                <w:sz w:val="20"/>
                <w:szCs w:val="20"/>
                <w:lang w:val="en-US"/>
              </w:rPr>
            </w:pPr>
          </w:p>
        </w:tc>
        <w:tc>
          <w:tcPr>
            <w:tcW w:w="550" w:type="dxa"/>
            <w:tcBorders>
              <w:top w:val="nil"/>
              <w:left w:val="nil"/>
              <w:bottom w:val="nil"/>
              <w:right w:val="nil"/>
            </w:tcBorders>
            <w:shd w:val="clear" w:color="auto" w:fill="auto"/>
            <w:noWrap/>
            <w:vAlign w:val="bottom"/>
            <w:hideMark/>
          </w:tcPr>
          <w:p w14:paraId="0BF97D02" w14:textId="77777777" w:rsidR="00B04E3D" w:rsidRPr="00B04E3D" w:rsidRDefault="00B04E3D" w:rsidP="00B04E3D">
            <w:pPr>
              <w:rPr>
                <w:sz w:val="20"/>
                <w:szCs w:val="20"/>
                <w:lang w:val="en-US"/>
              </w:rPr>
            </w:pPr>
          </w:p>
        </w:tc>
      </w:tr>
      <w:tr w:rsidR="00B04E3D" w:rsidRPr="00B04E3D" w14:paraId="02F90D27" w14:textId="77777777" w:rsidTr="00B04E3D">
        <w:trPr>
          <w:trHeight w:val="255"/>
        </w:trPr>
        <w:tc>
          <w:tcPr>
            <w:tcW w:w="1427" w:type="dxa"/>
            <w:tcBorders>
              <w:top w:val="nil"/>
              <w:left w:val="nil"/>
              <w:bottom w:val="nil"/>
              <w:right w:val="nil"/>
            </w:tcBorders>
            <w:shd w:val="clear" w:color="auto" w:fill="auto"/>
            <w:noWrap/>
            <w:vAlign w:val="bottom"/>
            <w:hideMark/>
          </w:tcPr>
          <w:p w14:paraId="3894FA94" w14:textId="77777777" w:rsidR="00B04E3D" w:rsidRPr="00B04E3D" w:rsidRDefault="00B04E3D" w:rsidP="00B04E3D">
            <w:pPr>
              <w:rPr>
                <w:sz w:val="20"/>
                <w:szCs w:val="20"/>
                <w:lang w:val="en-US"/>
              </w:rPr>
            </w:pPr>
            <w:r w:rsidRPr="00B04E3D">
              <w:rPr>
                <w:sz w:val="20"/>
                <w:szCs w:val="20"/>
                <w:lang w:val="en-US"/>
              </w:rPr>
              <w:t>4. Leverage</w:t>
            </w:r>
          </w:p>
        </w:tc>
        <w:tc>
          <w:tcPr>
            <w:tcW w:w="797" w:type="dxa"/>
            <w:tcBorders>
              <w:top w:val="nil"/>
              <w:left w:val="nil"/>
              <w:bottom w:val="nil"/>
              <w:right w:val="nil"/>
            </w:tcBorders>
            <w:shd w:val="clear" w:color="auto" w:fill="auto"/>
            <w:noWrap/>
            <w:vAlign w:val="bottom"/>
            <w:hideMark/>
          </w:tcPr>
          <w:p w14:paraId="465DE0CC" w14:textId="77777777" w:rsidR="00B04E3D" w:rsidRPr="00B04E3D" w:rsidRDefault="00B04E3D" w:rsidP="00B04E3D">
            <w:pPr>
              <w:rPr>
                <w:sz w:val="20"/>
                <w:szCs w:val="20"/>
                <w:lang w:val="en-US"/>
              </w:rPr>
            </w:pPr>
            <w:r w:rsidRPr="00B04E3D">
              <w:rPr>
                <w:sz w:val="20"/>
                <w:szCs w:val="20"/>
                <w:lang w:val="en-US"/>
              </w:rPr>
              <w:t>95</w:t>
            </w:r>
          </w:p>
        </w:tc>
        <w:tc>
          <w:tcPr>
            <w:tcW w:w="620" w:type="dxa"/>
            <w:tcBorders>
              <w:top w:val="nil"/>
              <w:left w:val="nil"/>
              <w:bottom w:val="nil"/>
              <w:right w:val="nil"/>
            </w:tcBorders>
            <w:shd w:val="clear" w:color="auto" w:fill="auto"/>
            <w:noWrap/>
            <w:vAlign w:val="bottom"/>
            <w:hideMark/>
          </w:tcPr>
          <w:p w14:paraId="1A85D491" w14:textId="77777777" w:rsidR="00B04E3D" w:rsidRPr="00B04E3D" w:rsidRDefault="00B04E3D" w:rsidP="00B04E3D">
            <w:pPr>
              <w:rPr>
                <w:sz w:val="20"/>
                <w:szCs w:val="20"/>
                <w:lang w:val="en-US"/>
              </w:rPr>
            </w:pPr>
            <w:r w:rsidRPr="00B04E3D">
              <w:rPr>
                <w:sz w:val="20"/>
                <w:szCs w:val="20"/>
                <w:lang w:val="en-US"/>
              </w:rPr>
              <w:t>1.0195</w:t>
            </w:r>
          </w:p>
        </w:tc>
        <w:tc>
          <w:tcPr>
            <w:tcW w:w="840" w:type="dxa"/>
            <w:tcBorders>
              <w:top w:val="nil"/>
              <w:left w:val="nil"/>
              <w:bottom w:val="nil"/>
              <w:right w:val="nil"/>
            </w:tcBorders>
            <w:shd w:val="clear" w:color="auto" w:fill="auto"/>
            <w:noWrap/>
            <w:vAlign w:val="bottom"/>
            <w:hideMark/>
          </w:tcPr>
          <w:p w14:paraId="1B388C14" w14:textId="77777777" w:rsidR="00B04E3D" w:rsidRPr="00B04E3D" w:rsidRDefault="00B04E3D" w:rsidP="00B04E3D">
            <w:pPr>
              <w:rPr>
                <w:sz w:val="20"/>
                <w:szCs w:val="20"/>
                <w:lang w:val="en-US"/>
              </w:rPr>
            </w:pPr>
            <w:r w:rsidRPr="00B04E3D">
              <w:rPr>
                <w:sz w:val="20"/>
                <w:szCs w:val="20"/>
                <w:lang w:val="en-US"/>
              </w:rPr>
              <w:t>0.7787</w:t>
            </w:r>
          </w:p>
        </w:tc>
        <w:tc>
          <w:tcPr>
            <w:tcW w:w="802" w:type="dxa"/>
            <w:tcBorders>
              <w:top w:val="nil"/>
              <w:left w:val="nil"/>
              <w:bottom w:val="nil"/>
              <w:right w:val="nil"/>
            </w:tcBorders>
            <w:shd w:val="clear" w:color="auto" w:fill="auto"/>
            <w:noWrap/>
            <w:vAlign w:val="bottom"/>
            <w:hideMark/>
          </w:tcPr>
          <w:p w14:paraId="6362A717" w14:textId="77777777" w:rsidR="00B04E3D" w:rsidRPr="00B04E3D" w:rsidRDefault="00B04E3D" w:rsidP="00B04E3D">
            <w:pPr>
              <w:rPr>
                <w:sz w:val="20"/>
                <w:szCs w:val="20"/>
                <w:lang w:val="en-US"/>
              </w:rPr>
            </w:pPr>
            <w:r w:rsidRPr="00B04E3D">
              <w:rPr>
                <w:sz w:val="20"/>
                <w:szCs w:val="20"/>
                <w:lang w:val="en-US"/>
              </w:rPr>
              <w:t>0.1272</w:t>
            </w:r>
          </w:p>
        </w:tc>
        <w:tc>
          <w:tcPr>
            <w:tcW w:w="766" w:type="dxa"/>
            <w:tcBorders>
              <w:top w:val="nil"/>
              <w:left w:val="nil"/>
              <w:bottom w:val="nil"/>
              <w:right w:val="nil"/>
            </w:tcBorders>
            <w:shd w:val="clear" w:color="auto" w:fill="auto"/>
            <w:noWrap/>
            <w:vAlign w:val="bottom"/>
            <w:hideMark/>
          </w:tcPr>
          <w:p w14:paraId="5AB116AA" w14:textId="77777777" w:rsidR="00B04E3D" w:rsidRPr="00B04E3D" w:rsidRDefault="00B04E3D" w:rsidP="00B04E3D">
            <w:pPr>
              <w:rPr>
                <w:sz w:val="20"/>
                <w:szCs w:val="20"/>
                <w:lang w:val="en-US"/>
              </w:rPr>
            </w:pPr>
            <w:r w:rsidRPr="00B04E3D">
              <w:rPr>
                <w:sz w:val="20"/>
                <w:szCs w:val="20"/>
                <w:lang w:val="en-US"/>
              </w:rPr>
              <w:t>3.8829</w:t>
            </w:r>
          </w:p>
        </w:tc>
        <w:tc>
          <w:tcPr>
            <w:tcW w:w="866" w:type="dxa"/>
            <w:tcBorders>
              <w:top w:val="nil"/>
              <w:left w:val="nil"/>
              <w:bottom w:val="nil"/>
              <w:right w:val="nil"/>
            </w:tcBorders>
            <w:shd w:val="clear" w:color="auto" w:fill="auto"/>
            <w:noWrap/>
            <w:vAlign w:val="bottom"/>
            <w:hideMark/>
          </w:tcPr>
          <w:p w14:paraId="56BF5485" w14:textId="750D19B0" w:rsidR="00B04E3D" w:rsidRPr="00B04E3D" w:rsidRDefault="00B04E3D" w:rsidP="00B04E3D">
            <w:pPr>
              <w:rPr>
                <w:sz w:val="20"/>
                <w:szCs w:val="20"/>
                <w:lang w:val="en-US"/>
              </w:rPr>
            </w:pPr>
            <w:r>
              <w:rPr>
                <w:sz w:val="20"/>
                <w:szCs w:val="20"/>
                <w:lang w:val="id-ID"/>
              </w:rPr>
              <w:t>-</w:t>
            </w:r>
            <w:r>
              <w:rPr>
                <w:sz w:val="20"/>
                <w:szCs w:val="20"/>
                <w:lang w:val="en-US"/>
              </w:rPr>
              <w:t>0.36</w:t>
            </w:r>
            <w:r>
              <w:rPr>
                <w:sz w:val="20"/>
                <w:szCs w:val="20"/>
                <w:lang w:val="id-ID"/>
              </w:rPr>
              <w:t>1</w:t>
            </w:r>
            <w:r w:rsidRPr="00B04E3D">
              <w:rPr>
                <w:sz w:val="20"/>
                <w:szCs w:val="20"/>
                <w:lang w:val="en-US"/>
              </w:rPr>
              <w:t>*</w:t>
            </w:r>
          </w:p>
        </w:tc>
        <w:tc>
          <w:tcPr>
            <w:tcW w:w="866" w:type="dxa"/>
            <w:tcBorders>
              <w:top w:val="nil"/>
              <w:left w:val="nil"/>
              <w:bottom w:val="nil"/>
              <w:right w:val="nil"/>
            </w:tcBorders>
            <w:shd w:val="clear" w:color="auto" w:fill="auto"/>
            <w:noWrap/>
            <w:vAlign w:val="bottom"/>
            <w:hideMark/>
          </w:tcPr>
          <w:p w14:paraId="051A4737" w14:textId="77777777" w:rsidR="00B04E3D" w:rsidRPr="00B04E3D" w:rsidRDefault="00B04E3D" w:rsidP="00B04E3D">
            <w:pPr>
              <w:rPr>
                <w:sz w:val="20"/>
                <w:szCs w:val="20"/>
                <w:lang w:val="en-US"/>
              </w:rPr>
            </w:pPr>
            <w:r w:rsidRPr="00B04E3D">
              <w:rPr>
                <w:sz w:val="20"/>
                <w:szCs w:val="20"/>
                <w:lang w:val="en-US"/>
              </w:rPr>
              <w:t>-0.0962</w:t>
            </w:r>
          </w:p>
        </w:tc>
        <w:tc>
          <w:tcPr>
            <w:tcW w:w="866" w:type="dxa"/>
            <w:tcBorders>
              <w:top w:val="nil"/>
              <w:left w:val="nil"/>
              <w:bottom w:val="nil"/>
              <w:right w:val="nil"/>
            </w:tcBorders>
            <w:shd w:val="clear" w:color="auto" w:fill="auto"/>
            <w:noWrap/>
            <w:vAlign w:val="bottom"/>
            <w:hideMark/>
          </w:tcPr>
          <w:p w14:paraId="5C2AB4BD" w14:textId="1A1040B0" w:rsidR="00B04E3D" w:rsidRPr="00B04E3D" w:rsidRDefault="00B04E3D" w:rsidP="00B04E3D">
            <w:pPr>
              <w:rPr>
                <w:sz w:val="20"/>
                <w:szCs w:val="20"/>
                <w:lang w:val="en-US"/>
              </w:rPr>
            </w:pPr>
            <w:r w:rsidRPr="00B04E3D">
              <w:rPr>
                <w:sz w:val="20"/>
                <w:szCs w:val="20"/>
                <w:lang w:val="en-US"/>
              </w:rPr>
              <w:t>-</w:t>
            </w:r>
            <w:r>
              <w:rPr>
                <w:sz w:val="20"/>
                <w:szCs w:val="20"/>
                <w:lang w:val="en-US"/>
              </w:rPr>
              <w:t>0.567</w:t>
            </w:r>
            <w:r w:rsidRPr="00B04E3D">
              <w:rPr>
                <w:sz w:val="20"/>
                <w:szCs w:val="20"/>
                <w:lang w:val="en-US"/>
              </w:rPr>
              <w:t>*</w:t>
            </w:r>
          </w:p>
        </w:tc>
        <w:tc>
          <w:tcPr>
            <w:tcW w:w="866" w:type="dxa"/>
            <w:tcBorders>
              <w:top w:val="nil"/>
              <w:left w:val="nil"/>
              <w:bottom w:val="nil"/>
              <w:right w:val="nil"/>
            </w:tcBorders>
            <w:shd w:val="clear" w:color="auto" w:fill="auto"/>
            <w:noWrap/>
            <w:vAlign w:val="bottom"/>
            <w:hideMark/>
          </w:tcPr>
          <w:p w14:paraId="6D64937E" w14:textId="2B3EA96E" w:rsidR="00B04E3D" w:rsidRPr="00B04E3D" w:rsidRDefault="00B04E3D" w:rsidP="00B04E3D">
            <w:pPr>
              <w:rPr>
                <w:sz w:val="20"/>
                <w:szCs w:val="20"/>
                <w:lang w:val="id-ID"/>
              </w:rPr>
            </w:pPr>
            <w:r>
              <w:rPr>
                <w:sz w:val="20"/>
                <w:szCs w:val="20"/>
                <w:lang w:val="id-ID"/>
              </w:rPr>
              <w:t>1</w:t>
            </w:r>
          </w:p>
        </w:tc>
        <w:tc>
          <w:tcPr>
            <w:tcW w:w="550" w:type="dxa"/>
            <w:tcBorders>
              <w:top w:val="nil"/>
              <w:left w:val="nil"/>
              <w:bottom w:val="nil"/>
              <w:right w:val="nil"/>
            </w:tcBorders>
            <w:shd w:val="clear" w:color="auto" w:fill="auto"/>
            <w:noWrap/>
            <w:vAlign w:val="bottom"/>
            <w:hideMark/>
          </w:tcPr>
          <w:p w14:paraId="467B4B00" w14:textId="77777777" w:rsidR="00B04E3D" w:rsidRPr="00B04E3D" w:rsidRDefault="00B04E3D" w:rsidP="00B04E3D">
            <w:pPr>
              <w:rPr>
                <w:sz w:val="20"/>
                <w:szCs w:val="20"/>
                <w:lang w:val="en-US"/>
              </w:rPr>
            </w:pPr>
          </w:p>
        </w:tc>
      </w:tr>
      <w:tr w:rsidR="00B04E3D" w:rsidRPr="00B04E3D" w14:paraId="6347C497" w14:textId="77777777" w:rsidTr="00B04E3D">
        <w:trPr>
          <w:trHeight w:val="255"/>
        </w:trPr>
        <w:tc>
          <w:tcPr>
            <w:tcW w:w="1427" w:type="dxa"/>
            <w:tcBorders>
              <w:top w:val="nil"/>
              <w:left w:val="nil"/>
              <w:bottom w:val="single" w:sz="4" w:space="0" w:color="auto"/>
              <w:right w:val="nil"/>
            </w:tcBorders>
            <w:shd w:val="clear" w:color="auto" w:fill="auto"/>
            <w:noWrap/>
            <w:vAlign w:val="bottom"/>
            <w:hideMark/>
          </w:tcPr>
          <w:p w14:paraId="277A55F4" w14:textId="77777777" w:rsidR="00B04E3D" w:rsidRPr="00B04E3D" w:rsidRDefault="00B04E3D" w:rsidP="00B04E3D">
            <w:pPr>
              <w:ind w:left="0" w:firstLine="0"/>
              <w:rPr>
                <w:sz w:val="20"/>
                <w:szCs w:val="20"/>
                <w:lang w:val="en-US"/>
              </w:rPr>
            </w:pPr>
            <w:r w:rsidRPr="00B04E3D">
              <w:rPr>
                <w:sz w:val="20"/>
                <w:szCs w:val="20"/>
                <w:lang w:val="en-US"/>
              </w:rPr>
              <w:t>5. Profitability</w:t>
            </w:r>
          </w:p>
        </w:tc>
        <w:tc>
          <w:tcPr>
            <w:tcW w:w="797" w:type="dxa"/>
            <w:tcBorders>
              <w:top w:val="nil"/>
              <w:left w:val="nil"/>
              <w:bottom w:val="single" w:sz="4" w:space="0" w:color="auto"/>
              <w:right w:val="nil"/>
            </w:tcBorders>
            <w:shd w:val="clear" w:color="auto" w:fill="auto"/>
            <w:noWrap/>
            <w:vAlign w:val="bottom"/>
            <w:hideMark/>
          </w:tcPr>
          <w:p w14:paraId="1B4041BE" w14:textId="77777777" w:rsidR="00B04E3D" w:rsidRPr="00B04E3D" w:rsidRDefault="00B04E3D" w:rsidP="00B04E3D">
            <w:pPr>
              <w:rPr>
                <w:sz w:val="20"/>
                <w:szCs w:val="20"/>
                <w:lang w:val="en-US"/>
              </w:rPr>
            </w:pPr>
            <w:r w:rsidRPr="00B04E3D">
              <w:rPr>
                <w:sz w:val="20"/>
                <w:szCs w:val="20"/>
                <w:lang w:val="en-US"/>
              </w:rPr>
              <w:t>95</w:t>
            </w:r>
          </w:p>
        </w:tc>
        <w:tc>
          <w:tcPr>
            <w:tcW w:w="620" w:type="dxa"/>
            <w:tcBorders>
              <w:top w:val="nil"/>
              <w:left w:val="nil"/>
              <w:bottom w:val="single" w:sz="4" w:space="0" w:color="auto"/>
              <w:right w:val="nil"/>
            </w:tcBorders>
            <w:shd w:val="clear" w:color="auto" w:fill="auto"/>
            <w:noWrap/>
            <w:vAlign w:val="bottom"/>
            <w:hideMark/>
          </w:tcPr>
          <w:p w14:paraId="0B26E72D" w14:textId="77777777" w:rsidR="00B04E3D" w:rsidRPr="00B04E3D" w:rsidRDefault="00B04E3D" w:rsidP="00B04E3D">
            <w:pPr>
              <w:rPr>
                <w:sz w:val="20"/>
                <w:szCs w:val="20"/>
                <w:lang w:val="en-US"/>
              </w:rPr>
            </w:pPr>
            <w:r w:rsidRPr="00B04E3D">
              <w:rPr>
                <w:sz w:val="20"/>
                <w:szCs w:val="20"/>
                <w:lang w:val="en-US"/>
              </w:rPr>
              <w:t>0.0737</w:t>
            </w:r>
          </w:p>
        </w:tc>
        <w:tc>
          <w:tcPr>
            <w:tcW w:w="840" w:type="dxa"/>
            <w:tcBorders>
              <w:top w:val="nil"/>
              <w:left w:val="nil"/>
              <w:bottom w:val="single" w:sz="4" w:space="0" w:color="auto"/>
              <w:right w:val="nil"/>
            </w:tcBorders>
            <w:shd w:val="clear" w:color="auto" w:fill="auto"/>
            <w:noWrap/>
            <w:vAlign w:val="bottom"/>
            <w:hideMark/>
          </w:tcPr>
          <w:p w14:paraId="6E7F51F5" w14:textId="77777777" w:rsidR="00B04E3D" w:rsidRPr="00B04E3D" w:rsidRDefault="00B04E3D" w:rsidP="00B04E3D">
            <w:pPr>
              <w:rPr>
                <w:sz w:val="20"/>
                <w:szCs w:val="20"/>
                <w:lang w:val="en-US"/>
              </w:rPr>
            </w:pPr>
            <w:r w:rsidRPr="00B04E3D">
              <w:rPr>
                <w:sz w:val="20"/>
                <w:szCs w:val="20"/>
                <w:lang w:val="en-US"/>
              </w:rPr>
              <w:t>0.0565</w:t>
            </w:r>
          </w:p>
        </w:tc>
        <w:tc>
          <w:tcPr>
            <w:tcW w:w="802" w:type="dxa"/>
            <w:tcBorders>
              <w:top w:val="nil"/>
              <w:left w:val="nil"/>
              <w:bottom w:val="single" w:sz="4" w:space="0" w:color="auto"/>
              <w:right w:val="nil"/>
            </w:tcBorders>
            <w:shd w:val="clear" w:color="auto" w:fill="auto"/>
            <w:noWrap/>
            <w:vAlign w:val="bottom"/>
            <w:hideMark/>
          </w:tcPr>
          <w:p w14:paraId="25780F14" w14:textId="1521AB28" w:rsidR="00B04E3D" w:rsidRPr="00B04E3D" w:rsidRDefault="00B04E3D" w:rsidP="00B04E3D">
            <w:pPr>
              <w:rPr>
                <w:sz w:val="20"/>
                <w:szCs w:val="20"/>
                <w:lang w:val="id-ID"/>
              </w:rPr>
            </w:pPr>
            <w:r>
              <w:rPr>
                <w:sz w:val="20"/>
                <w:szCs w:val="20"/>
                <w:lang w:val="en-US"/>
              </w:rPr>
              <w:t>0.05</w:t>
            </w:r>
            <w:r>
              <w:rPr>
                <w:sz w:val="20"/>
                <w:szCs w:val="20"/>
                <w:lang w:val="id-ID"/>
              </w:rPr>
              <w:t>60</w:t>
            </w:r>
          </w:p>
        </w:tc>
        <w:tc>
          <w:tcPr>
            <w:tcW w:w="766" w:type="dxa"/>
            <w:tcBorders>
              <w:top w:val="nil"/>
              <w:left w:val="nil"/>
              <w:bottom w:val="single" w:sz="4" w:space="0" w:color="auto"/>
              <w:right w:val="nil"/>
            </w:tcBorders>
            <w:shd w:val="clear" w:color="auto" w:fill="auto"/>
            <w:noWrap/>
            <w:vAlign w:val="bottom"/>
            <w:hideMark/>
          </w:tcPr>
          <w:p w14:paraId="09E73B79" w14:textId="77777777" w:rsidR="00B04E3D" w:rsidRPr="00B04E3D" w:rsidRDefault="00B04E3D" w:rsidP="00B04E3D">
            <w:pPr>
              <w:rPr>
                <w:sz w:val="20"/>
                <w:szCs w:val="20"/>
                <w:lang w:val="en-US"/>
              </w:rPr>
            </w:pPr>
            <w:r w:rsidRPr="00B04E3D">
              <w:rPr>
                <w:sz w:val="20"/>
                <w:szCs w:val="20"/>
                <w:lang w:val="en-US"/>
              </w:rPr>
              <w:t>0.2229</w:t>
            </w:r>
          </w:p>
        </w:tc>
        <w:tc>
          <w:tcPr>
            <w:tcW w:w="866" w:type="dxa"/>
            <w:tcBorders>
              <w:top w:val="nil"/>
              <w:left w:val="nil"/>
              <w:bottom w:val="single" w:sz="4" w:space="0" w:color="auto"/>
              <w:right w:val="nil"/>
            </w:tcBorders>
            <w:shd w:val="clear" w:color="auto" w:fill="auto"/>
            <w:noWrap/>
            <w:vAlign w:val="bottom"/>
            <w:hideMark/>
          </w:tcPr>
          <w:p w14:paraId="06E15632" w14:textId="77777777" w:rsidR="00B04E3D" w:rsidRPr="00B04E3D" w:rsidRDefault="00B04E3D" w:rsidP="00B04E3D">
            <w:pPr>
              <w:rPr>
                <w:sz w:val="20"/>
                <w:szCs w:val="20"/>
                <w:lang w:val="en-US"/>
              </w:rPr>
            </w:pPr>
            <w:r w:rsidRPr="00B04E3D">
              <w:rPr>
                <w:sz w:val="20"/>
                <w:szCs w:val="20"/>
                <w:lang w:val="en-US"/>
              </w:rPr>
              <w:t>0.7069*</w:t>
            </w:r>
          </w:p>
        </w:tc>
        <w:tc>
          <w:tcPr>
            <w:tcW w:w="866" w:type="dxa"/>
            <w:tcBorders>
              <w:top w:val="nil"/>
              <w:left w:val="nil"/>
              <w:bottom w:val="single" w:sz="4" w:space="0" w:color="auto"/>
              <w:right w:val="nil"/>
            </w:tcBorders>
            <w:shd w:val="clear" w:color="auto" w:fill="auto"/>
            <w:noWrap/>
            <w:vAlign w:val="bottom"/>
            <w:hideMark/>
          </w:tcPr>
          <w:p w14:paraId="0DB46959" w14:textId="77777777" w:rsidR="00B04E3D" w:rsidRPr="00B04E3D" w:rsidRDefault="00B04E3D" w:rsidP="00B04E3D">
            <w:pPr>
              <w:rPr>
                <w:sz w:val="20"/>
                <w:szCs w:val="20"/>
                <w:lang w:val="en-US"/>
              </w:rPr>
            </w:pPr>
            <w:r w:rsidRPr="00B04E3D">
              <w:rPr>
                <w:sz w:val="20"/>
                <w:szCs w:val="20"/>
                <w:lang w:val="en-US"/>
              </w:rPr>
              <w:t>0.2685*</w:t>
            </w:r>
          </w:p>
        </w:tc>
        <w:tc>
          <w:tcPr>
            <w:tcW w:w="866" w:type="dxa"/>
            <w:tcBorders>
              <w:top w:val="nil"/>
              <w:left w:val="nil"/>
              <w:bottom w:val="single" w:sz="4" w:space="0" w:color="auto"/>
              <w:right w:val="nil"/>
            </w:tcBorders>
            <w:shd w:val="clear" w:color="auto" w:fill="auto"/>
            <w:noWrap/>
            <w:vAlign w:val="bottom"/>
            <w:hideMark/>
          </w:tcPr>
          <w:p w14:paraId="5D3A431D" w14:textId="77777777" w:rsidR="00B04E3D" w:rsidRPr="00B04E3D" w:rsidRDefault="00B04E3D" w:rsidP="00B04E3D">
            <w:pPr>
              <w:rPr>
                <w:sz w:val="20"/>
                <w:szCs w:val="20"/>
                <w:lang w:val="en-US"/>
              </w:rPr>
            </w:pPr>
            <w:r w:rsidRPr="00B04E3D">
              <w:rPr>
                <w:sz w:val="20"/>
                <w:szCs w:val="20"/>
                <w:lang w:val="en-US"/>
              </w:rPr>
              <w:t>0.7664*</w:t>
            </w:r>
          </w:p>
        </w:tc>
        <w:tc>
          <w:tcPr>
            <w:tcW w:w="866" w:type="dxa"/>
            <w:tcBorders>
              <w:top w:val="nil"/>
              <w:left w:val="nil"/>
              <w:bottom w:val="single" w:sz="4" w:space="0" w:color="auto"/>
              <w:right w:val="nil"/>
            </w:tcBorders>
            <w:shd w:val="clear" w:color="auto" w:fill="auto"/>
            <w:noWrap/>
            <w:vAlign w:val="bottom"/>
            <w:hideMark/>
          </w:tcPr>
          <w:p w14:paraId="1F2D89D3" w14:textId="07193D63" w:rsidR="00B04E3D" w:rsidRPr="00B04E3D" w:rsidRDefault="00B04E3D" w:rsidP="00B04E3D">
            <w:pPr>
              <w:rPr>
                <w:sz w:val="20"/>
                <w:szCs w:val="20"/>
                <w:lang w:val="en-US"/>
              </w:rPr>
            </w:pPr>
            <w:r>
              <w:rPr>
                <w:sz w:val="20"/>
                <w:szCs w:val="20"/>
                <w:lang w:val="en-US"/>
              </w:rPr>
              <w:t>-0.416</w:t>
            </w:r>
            <w:r w:rsidRPr="00B04E3D">
              <w:rPr>
                <w:sz w:val="20"/>
                <w:szCs w:val="20"/>
                <w:lang w:val="en-US"/>
              </w:rPr>
              <w:t>*</w:t>
            </w:r>
          </w:p>
        </w:tc>
        <w:tc>
          <w:tcPr>
            <w:tcW w:w="550" w:type="dxa"/>
            <w:tcBorders>
              <w:top w:val="nil"/>
              <w:left w:val="nil"/>
              <w:bottom w:val="single" w:sz="4" w:space="0" w:color="auto"/>
              <w:right w:val="nil"/>
            </w:tcBorders>
            <w:shd w:val="clear" w:color="auto" w:fill="auto"/>
            <w:noWrap/>
            <w:vAlign w:val="bottom"/>
            <w:hideMark/>
          </w:tcPr>
          <w:p w14:paraId="310D38C6" w14:textId="77777777" w:rsidR="00B04E3D" w:rsidRPr="00B04E3D" w:rsidRDefault="00B04E3D" w:rsidP="00B04E3D">
            <w:pPr>
              <w:rPr>
                <w:sz w:val="20"/>
                <w:szCs w:val="20"/>
                <w:lang w:val="en-US"/>
              </w:rPr>
            </w:pPr>
            <w:r w:rsidRPr="00B04E3D">
              <w:rPr>
                <w:sz w:val="20"/>
                <w:szCs w:val="20"/>
                <w:lang w:val="en-US"/>
              </w:rPr>
              <w:t xml:space="preserve">1 </w:t>
            </w:r>
          </w:p>
        </w:tc>
      </w:tr>
    </w:tbl>
    <w:p w14:paraId="534DCBB1" w14:textId="77777777" w:rsidR="00B04E3D" w:rsidRDefault="00B04E3D" w:rsidP="00B04E3D">
      <w:pPr>
        <w:rPr>
          <w:lang w:val="id-ID"/>
        </w:rPr>
      </w:pPr>
    </w:p>
    <w:p w14:paraId="3F6B2D19" w14:textId="77777777" w:rsidR="00B04E3D" w:rsidRDefault="00B04E3D" w:rsidP="00B04E3D">
      <w:pPr>
        <w:spacing w:line="276" w:lineRule="auto"/>
        <w:rPr>
          <w:lang w:val="id-ID" w:eastAsia="id-ID"/>
        </w:rPr>
      </w:pPr>
      <w:r w:rsidRPr="002D5347">
        <w:rPr>
          <w:lang w:val="en-US" w:eastAsia="id-ID"/>
        </w:rPr>
        <w:t xml:space="preserve">Table 2 </w:t>
      </w:r>
      <w:r>
        <w:rPr>
          <w:lang w:val="en-US" w:eastAsia="id-ID"/>
        </w:rPr>
        <w:t>summarizes</w:t>
      </w:r>
      <w:r w:rsidRPr="002D5347">
        <w:rPr>
          <w:lang w:val="en-US" w:eastAsia="id-ID"/>
        </w:rPr>
        <w:t xml:space="preserve"> regression testing on all equations in this study.</w:t>
      </w:r>
      <w:r>
        <w:rPr>
          <w:lang w:val="en-US" w:eastAsia="id-ID"/>
        </w:rPr>
        <w:t xml:space="preserve"> </w:t>
      </w:r>
      <w:r w:rsidRPr="00B87B5A">
        <w:rPr>
          <w:lang w:val="en-US" w:eastAsia="id-ID"/>
        </w:rPr>
        <w:t xml:space="preserve">Early identification of factors that can explain changes in firm value in Indonesia can be seen in the basic model test. </w:t>
      </w:r>
      <w:r w:rsidRPr="00C20D3B">
        <w:rPr>
          <w:lang w:val="en-US" w:eastAsia="id-ID"/>
        </w:rPr>
        <w:t xml:space="preserve">This preliminary test was conducted using pooled OLS to </w:t>
      </w:r>
      <w:r>
        <w:rPr>
          <w:lang w:val="en-US" w:eastAsia="id-ID"/>
        </w:rPr>
        <w:t>determine</w:t>
      </w:r>
      <w:r w:rsidRPr="00C20D3B">
        <w:rPr>
          <w:lang w:val="en-US" w:eastAsia="id-ID"/>
        </w:rPr>
        <w:t xml:space="preserve"> whether liquidity, leverage, and profitability have a role in shaping firm value in Indonesia.</w:t>
      </w:r>
      <w:r>
        <w:rPr>
          <w:lang w:val="en-US" w:eastAsia="id-ID"/>
        </w:rPr>
        <w:t xml:space="preserve"> </w:t>
      </w:r>
      <w:r w:rsidRPr="00B87B5A">
        <w:rPr>
          <w:lang w:val="en-US" w:eastAsia="id-ID"/>
        </w:rPr>
        <w:t xml:space="preserve">The profitability coefficient value is </w:t>
      </w:r>
      <w:r>
        <w:rPr>
          <w:lang w:val="en-US" w:eastAsia="id-ID"/>
        </w:rPr>
        <w:t>14.0859,</w:t>
      </w:r>
      <w:r w:rsidRPr="00B87B5A">
        <w:rPr>
          <w:lang w:val="en-US" w:eastAsia="id-ID"/>
        </w:rPr>
        <w:t xml:space="preserve"> </w:t>
      </w:r>
      <w:r w:rsidRPr="00B87B5A">
        <w:rPr>
          <w:lang w:val="en-US" w:eastAsia="id-ID"/>
        </w:rPr>
        <w:lastRenderedPageBreak/>
        <w:t xml:space="preserve">significant at </w:t>
      </w:r>
      <w:r>
        <w:rPr>
          <w:lang w:val="en-US" w:eastAsia="id-ID"/>
        </w:rPr>
        <w:t xml:space="preserve">a </w:t>
      </w:r>
      <w:r w:rsidRPr="00B87B5A">
        <w:rPr>
          <w:lang w:val="en-US" w:eastAsia="id-ID"/>
        </w:rPr>
        <w:t>0.</w:t>
      </w:r>
      <w:r>
        <w:rPr>
          <w:lang w:val="en-US" w:eastAsia="id-ID"/>
        </w:rPr>
        <w:t>0</w:t>
      </w:r>
      <w:r w:rsidRPr="00B87B5A">
        <w:rPr>
          <w:lang w:val="en-US" w:eastAsia="id-ID"/>
        </w:rPr>
        <w:t xml:space="preserve">1 level. These results indicate that the better the </w:t>
      </w:r>
      <w:r>
        <w:rPr>
          <w:lang w:val="en-US" w:eastAsia="id-ID"/>
        </w:rPr>
        <w:t>firm</w:t>
      </w:r>
      <w:r w:rsidRPr="00B87B5A">
        <w:rPr>
          <w:lang w:val="en-US" w:eastAsia="id-ID"/>
        </w:rPr>
        <w:t xml:space="preserve">'s performance in generating profits, the higher the </w:t>
      </w:r>
      <w:r>
        <w:rPr>
          <w:lang w:val="en-US" w:eastAsia="id-ID"/>
        </w:rPr>
        <w:t>firm</w:t>
      </w:r>
      <w:r w:rsidRPr="00B87B5A">
        <w:rPr>
          <w:lang w:val="en-US" w:eastAsia="id-ID"/>
        </w:rPr>
        <w:t xml:space="preserve">'s </w:t>
      </w:r>
      <w:r>
        <w:rPr>
          <w:lang w:val="en-US" w:eastAsia="id-ID"/>
        </w:rPr>
        <w:t>value</w:t>
      </w:r>
      <w:r w:rsidRPr="00B87B5A">
        <w:rPr>
          <w:lang w:val="en-US" w:eastAsia="id-ID"/>
        </w:rPr>
        <w:t xml:space="preserve">. </w:t>
      </w:r>
      <w:r w:rsidRPr="001716A2">
        <w:rPr>
          <w:lang w:val="en-US" w:eastAsia="id-ID"/>
        </w:rPr>
        <w:t>The coefficients of liquidity and leverage direction -0.1180 and -0.2002</w:t>
      </w:r>
      <w:r>
        <w:rPr>
          <w:lang w:val="en-US" w:eastAsia="id-ID"/>
        </w:rPr>
        <w:t>,</w:t>
      </w:r>
      <w:r w:rsidRPr="001716A2">
        <w:rPr>
          <w:lang w:val="en-US" w:eastAsia="id-ID"/>
        </w:rPr>
        <w:t xml:space="preserve"> which are all significant at the 0.05 level</w:t>
      </w:r>
      <w:r>
        <w:rPr>
          <w:lang w:val="en-US" w:eastAsia="id-ID"/>
        </w:rPr>
        <w:t>,</w:t>
      </w:r>
      <w:r w:rsidRPr="001716A2">
        <w:rPr>
          <w:lang w:val="en-US" w:eastAsia="id-ID"/>
        </w:rPr>
        <w:t xml:space="preserve"> indicate the explanatory ability of changes in firm value.</w:t>
      </w:r>
    </w:p>
    <w:p w14:paraId="4EB71303" w14:textId="77777777" w:rsidR="00B04E3D" w:rsidRPr="00B04E3D" w:rsidRDefault="00B04E3D" w:rsidP="00B04E3D">
      <w:pPr>
        <w:spacing w:after="0" w:line="276" w:lineRule="auto"/>
        <w:ind w:left="0" w:firstLine="0"/>
        <w:rPr>
          <w:color w:val="auto"/>
          <w:szCs w:val="20"/>
          <w:lang w:val="en-US" w:eastAsia="id-ID"/>
        </w:rPr>
      </w:pPr>
      <w:proofErr w:type="gramStart"/>
      <w:r w:rsidRPr="00B04E3D">
        <w:rPr>
          <w:color w:val="auto"/>
          <w:szCs w:val="20"/>
          <w:lang w:val="en-US" w:eastAsia="id-ID"/>
        </w:rPr>
        <w:t>Table 2.</w:t>
      </w:r>
      <w:proofErr w:type="gramEnd"/>
      <w:r w:rsidRPr="00B04E3D">
        <w:rPr>
          <w:color w:val="auto"/>
          <w:szCs w:val="20"/>
          <w:lang w:val="en-US" w:eastAsia="id-ID"/>
        </w:rPr>
        <w:t xml:space="preserve"> </w:t>
      </w:r>
      <w:proofErr w:type="gramStart"/>
      <w:r w:rsidRPr="00B04E3D">
        <w:rPr>
          <w:color w:val="auto"/>
          <w:szCs w:val="20"/>
          <w:lang w:val="en-US" w:eastAsia="id-ID"/>
        </w:rPr>
        <w:t>The basic and main model.</w:t>
      </w:r>
      <w:proofErr w:type="gramEnd"/>
    </w:p>
    <w:tbl>
      <w:tblPr>
        <w:tblW w:w="8538" w:type="dxa"/>
        <w:tblInd w:w="108" w:type="dxa"/>
        <w:tblLook w:val="04A0" w:firstRow="1" w:lastRow="0" w:firstColumn="1" w:lastColumn="0" w:noHBand="0" w:noVBand="1"/>
      </w:tblPr>
      <w:tblGrid>
        <w:gridCol w:w="2160"/>
        <w:gridCol w:w="1260"/>
        <w:gridCol w:w="266"/>
        <w:gridCol w:w="1585"/>
        <w:gridCol w:w="266"/>
        <w:gridCol w:w="1575"/>
        <w:gridCol w:w="1420"/>
        <w:gridCol w:w="6"/>
      </w:tblGrid>
      <w:tr w:rsidR="00B04E3D" w:rsidRPr="00B04E3D" w14:paraId="31F45254" w14:textId="77777777" w:rsidTr="00B773FA">
        <w:trPr>
          <w:trHeight w:val="255"/>
        </w:trPr>
        <w:tc>
          <w:tcPr>
            <w:tcW w:w="2160" w:type="dxa"/>
            <w:tcBorders>
              <w:top w:val="single" w:sz="4" w:space="0" w:color="auto"/>
              <w:left w:val="nil"/>
              <w:bottom w:val="nil"/>
              <w:right w:val="nil"/>
            </w:tcBorders>
            <w:shd w:val="clear" w:color="auto" w:fill="auto"/>
            <w:noWrap/>
            <w:vAlign w:val="bottom"/>
            <w:hideMark/>
          </w:tcPr>
          <w:p w14:paraId="60613008" w14:textId="77777777" w:rsidR="00B04E3D" w:rsidRPr="00B04E3D" w:rsidRDefault="00B04E3D" w:rsidP="00B04E3D">
            <w:pPr>
              <w:spacing w:after="0"/>
              <w:ind w:left="0" w:firstLine="0"/>
              <w:jc w:val="left"/>
              <w:rPr>
                <w:rFonts w:eastAsia="SimSun"/>
                <w:color w:val="auto"/>
                <w:sz w:val="20"/>
                <w:szCs w:val="20"/>
                <w:lang w:val="en-US" w:eastAsia="en-US"/>
              </w:rPr>
            </w:pPr>
            <w:r w:rsidRPr="00B04E3D">
              <w:rPr>
                <w:rFonts w:eastAsia="SimSun"/>
                <w:color w:val="auto"/>
                <w:sz w:val="20"/>
                <w:szCs w:val="20"/>
                <w:lang w:eastAsia="en-US"/>
              </w:rPr>
              <w:t> </w:t>
            </w:r>
          </w:p>
        </w:tc>
        <w:tc>
          <w:tcPr>
            <w:tcW w:w="1260" w:type="dxa"/>
            <w:vMerge w:val="restart"/>
            <w:tcBorders>
              <w:top w:val="single" w:sz="4" w:space="0" w:color="auto"/>
              <w:left w:val="nil"/>
              <w:bottom w:val="single" w:sz="4" w:space="0" w:color="000000"/>
              <w:right w:val="nil"/>
            </w:tcBorders>
            <w:shd w:val="clear" w:color="auto" w:fill="auto"/>
            <w:noWrap/>
            <w:vAlign w:val="center"/>
            <w:hideMark/>
          </w:tcPr>
          <w:p w14:paraId="0B7C89D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Dividend</w:t>
            </w:r>
          </w:p>
        </w:tc>
        <w:tc>
          <w:tcPr>
            <w:tcW w:w="266" w:type="dxa"/>
            <w:tcBorders>
              <w:top w:val="single" w:sz="4" w:space="0" w:color="auto"/>
              <w:left w:val="nil"/>
              <w:bottom w:val="nil"/>
              <w:right w:val="nil"/>
            </w:tcBorders>
            <w:shd w:val="clear" w:color="auto" w:fill="auto"/>
            <w:noWrap/>
            <w:vAlign w:val="center"/>
            <w:hideMark/>
          </w:tcPr>
          <w:p w14:paraId="43C1866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585" w:type="dxa"/>
            <w:tcBorders>
              <w:top w:val="single" w:sz="4" w:space="0" w:color="auto"/>
              <w:left w:val="nil"/>
              <w:bottom w:val="single" w:sz="4" w:space="0" w:color="auto"/>
              <w:right w:val="nil"/>
            </w:tcBorders>
            <w:shd w:val="clear" w:color="auto" w:fill="auto"/>
            <w:noWrap/>
            <w:vAlign w:val="bottom"/>
            <w:hideMark/>
          </w:tcPr>
          <w:p w14:paraId="724EE4B4"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Basic Model</w:t>
            </w:r>
          </w:p>
        </w:tc>
        <w:tc>
          <w:tcPr>
            <w:tcW w:w="266" w:type="dxa"/>
            <w:tcBorders>
              <w:top w:val="single" w:sz="4" w:space="0" w:color="auto"/>
              <w:left w:val="nil"/>
              <w:bottom w:val="nil"/>
              <w:right w:val="nil"/>
            </w:tcBorders>
            <w:shd w:val="clear" w:color="auto" w:fill="auto"/>
            <w:noWrap/>
            <w:vAlign w:val="bottom"/>
            <w:hideMark/>
          </w:tcPr>
          <w:p w14:paraId="57A8B6D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3001" w:type="dxa"/>
            <w:gridSpan w:val="3"/>
            <w:tcBorders>
              <w:top w:val="single" w:sz="4" w:space="0" w:color="auto"/>
              <w:left w:val="nil"/>
              <w:bottom w:val="single" w:sz="4" w:space="0" w:color="auto"/>
              <w:right w:val="nil"/>
            </w:tcBorders>
            <w:shd w:val="clear" w:color="auto" w:fill="auto"/>
            <w:noWrap/>
            <w:vAlign w:val="bottom"/>
            <w:hideMark/>
          </w:tcPr>
          <w:p w14:paraId="7E7A3947"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Main Model</w:t>
            </w:r>
          </w:p>
        </w:tc>
      </w:tr>
      <w:tr w:rsidR="00B04E3D" w:rsidRPr="00B04E3D" w14:paraId="0CB03FFD" w14:textId="77777777" w:rsidTr="00B773FA">
        <w:trPr>
          <w:trHeight w:val="255"/>
        </w:trPr>
        <w:tc>
          <w:tcPr>
            <w:tcW w:w="2160" w:type="dxa"/>
            <w:tcBorders>
              <w:top w:val="nil"/>
              <w:left w:val="nil"/>
              <w:bottom w:val="single" w:sz="4" w:space="0" w:color="000000"/>
              <w:right w:val="nil"/>
            </w:tcBorders>
            <w:shd w:val="clear" w:color="auto" w:fill="auto"/>
            <w:noWrap/>
            <w:vAlign w:val="bottom"/>
            <w:hideMark/>
          </w:tcPr>
          <w:p w14:paraId="05072BF9"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 </w:t>
            </w:r>
          </w:p>
        </w:tc>
        <w:tc>
          <w:tcPr>
            <w:tcW w:w="1260" w:type="dxa"/>
            <w:vMerge/>
            <w:tcBorders>
              <w:top w:val="single" w:sz="4" w:space="0" w:color="auto"/>
              <w:left w:val="nil"/>
              <w:bottom w:val="single" w:sz="4" w:space="0" w:color="000000"/>
              <w:right w:val="nil"/>
            </w:tcBorders>
            <w:vAlign w:val="center"/>
            <w:hideMark/>
          </w:tcPr>
          <w:p w14:paraId="7F2E9F8F"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single" w:sz="4" w:space="0" w:color="000000"/>
              <w:right w:val="nil"/>
            </w:tcBorders>
            <w:shd w:val="clear" w:color="auto" w:fill="auto"/>
            <w:noWrap/>
            <w:vAlign w:val="center"/>
            <w:hideMark/>
          </w:tcPr>
          <w:p w14:paraId="3AAC2251"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585" w:type="dxa"/>
            <w:tcBorders>
              <w:top w:val="nil"/>
              <w:left w:val="nil"/>
              <w:bottom w:val="single" w:sz="4" w:space="0" w:color="000000"/>
              <w:right w:val="nil"/>
            </w:tcBorders>
            <w:shd w:val="clear" w:color="auto" w:fill="auto"/>
            <w:noWrap/>
            <w:vAlign w:val="center"/>
            <w:hideMark/>
          </w:tcPr>
          <w:p w14:paraId="78AD508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Firm Value</w:t>
            </w:r>
          </w:p>
        </w:tc>
        <w:tc>
          <w:tcPr>
            <w:tcW w:w="266" w:type="dxa"/>
            <w:tcBorders>
              <w:top w:val="nil"/>
              <w:left w:val="nil"/>
              <w:bottom w:val="single" w:sz="4" w:space="0" w:color="000000"/>
              <w:right w:val="nil"/>
            </w:tcBorders>
            <w:shd w:val="clear" w:color="auto" w:fill="auto"/>
            <w:noWrap/>
            <w:vAlign w:val="bottom"/>
            <w:hideMark/>
          </w:tcPr>
          <w:p w14:paraId="2BF6E904"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575" w:type="dxa"/>
            <w:tcBorders>
              <w:top w:val="nil"/>
              <w:left w:val="nil"/>
              <w:bottom w:val="single" w:sz="4" w:space="0" w:color="000000"/>
              <w:right w:val="nil"/>
            </w:tcBorders>
            <w:shd w:val="clear" w:color="auto" w:fill="auto"/>
            <w:noWrap/>
            <w:vAlign w:val="bottom"/>
            <w:hideMark/>
          </w:tcPr>
          <w:p w14:paraId="3A560B1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Firm Value</w:t>
            </w:r>
          </w:p>
          <w:p w14:paraId="11F4DDAF"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(Full Sample)</w:t>
            </w:r>
          </w:p>
        </w:tc>
        <w:tc>
          <w:tcPr>
            <w:tcW w:w="1426" w:type="dxa"/>
            <w:gridSpan w:val="2"/>
            <w:tcBorders>
              <w:top w:val="nil"/>
              <w:left w:val="nil"/>
              <w:bottom w:val="nil"/>
              <w:right w:val="nil"/>
            </w:tcBorders>
            <w:shd w:val="clear" w:color="auto" w:fill="auto"/>
            <w:noWrap/>
            <w:vAlign w:val="bottom"/>
            <w:hideMark/>
          </w:tcPr>
          <w:p w14:paraId="79E9320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Firm Value</w:t>
            </w:r>
          </w:p>
          <w:p w14:paraId="02302962"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(Subsample)</w:t>
            </w:r>
          </w:p>
        </w:tc>
      </w:tr>
      <w:tr w:rsidR="00B04E3D" w:rsidRPr="00B04E3D" w14:paraId="28D58526" w14:textId="77777777" w:rsidTr="00B773FA">
        <w:trPr>
          <w:trHeight w:val="255"/>
        </w:trPr>
        <w:tc>
          <w:tcPr>
            <w:tcW w:w="2160" w:type="dxa"/>
            <w:tcBorders>
              <w:top w:val="nil"/>
              <w:left w:val="nil"/>
              <w:bottom w:val="nil"/>
              <w:right w:val="nil"/>
            </w:tcBorders>
            <w:shd w:val="clear" w:color="auto" w:fill="auto"/>
            <w:noWrap/>
            <w:vAlign w:val="bottom"/>
            <w:hideMark/>
          </w:tcPr>
          <w:p w14:paraId="609386E8"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 </w:t>
            </w:r>
          </w:p>
        </w:tc>
        <w:tc>
          <w:tcPr>
            <w:tcW w:w="1260" w:type="dxa"/>
            <w:tcBorders>
              <w:top w:val="nil"/>
              <w:left w:val="nil"/>
              <w:bottom w:val="nil"/>
              <w:right w:val="nil"/>
            </w:tcBorders>
            <w:shd w:val="clear" w:color="auto" w:fill="auto"/>
            <w:noWrap/>
            <w:vAlign w:val="bottom"/>
            <w:hideMark/>
          </w:tcPr>
          <w:p w14:paraId="16AB5362"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266" w:type="dxa"/>
            <w:tcBorders>
              <w:top w:val="nil"/>
              <w:left w:val="nil"/>
              <w:bottom w:val="nil"/>
              <w:right w:val="nil"/>
            </w:tcBorders>
            <w:shd w:val="clear" w:color="auto" w:fill="auto"/>
            <w:noWrap/>
            <w:vAlign w:val="bottom"/>
            <w:hideMark/>
          </w:tcPr>
          <w:p w14:paraId="45AA8A61"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585" w:type="dxa"/>
            <w:tcBorders>
              <w:top w:val="nil"/>
              <w:left w:val="nil"/>
              <w:bottom w:val="nil"/>
              <w:right w:val="nil"/>
            </w:tcBorders>
            <w:shd w:val="clear" w:color="auto" w:fill="auto"/>
            <w:noWrap/>
            <w:vAlign w:val="bottom"/>
            <w:hideMark/>
          </w:tcPr>
          <w:p w14:paraId="3A8B726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266" w:type="dxa"/>
            <w:tcBorders>
              <w:top w:val="nil"/>
              <w:left w:val="nil"/>
              <w:bottom w:val="nil"/>
              <w:right w:val="nil"/>
            </w:tcBorders>
            <w:shd w:val="clear" w:color="auto" w:fill="auto"/>
            <w:noWrap/>
            <w:vAlign w:val="bottom"/>
            <w:hideMark/>
          </w:tcPr>
          <w:p w14:paraId="12B1622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575" w:type="dxa"/>
            <w:tcBorders>
              <w:top w:val="nil"/>
              <w:left w:val="nil"/>
              <w:bottom w:val="nil"/>
              <w:right w:val="nil"/>
            </w:tcBorders>
            <w:shd w:val="clear" w:color="auto" w:fill="auto"/>
            <w:noWrap/>
            <w:vAlign w:val="bottom"/>
            <w:hideMark/>
          </w:tcPr>
          <w:p w14:paraId="3A0ECEC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c>
          <w:tcPr>
            <w:tcW w:w="1426" w:type="dxa"/>
            <w:gridSpan w:val="2"/>
            <w:tcBorders>
              <w:top w:val="single" w:sz="4" w:space="0" w:color="000000"/>
              <w:left w:val="nil"/>
              <w:bottom w:val="nil"/>
              <w:right w:val="nil"/>
            </w:tcBorders>
            <w:shd w:val="clear" w:color="auto" w:fill="auto"/>
            <w:noWrap/>
            <w:vAlign w:val="bottom"/>
            <w:hideMark/>
          </w:tcPr>
          <w:p w14:paraId="6520728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 </w:t>
            </w:r>
          </w:p>
        </w:tc>
      </w:tr>
      <w:tr w:rsidR="00B04E3D" w:rsidRPr="00B04E3D" w14:paraId="55F46ED7" w14:textId="77777777" w:rsidTr="00B773FA">
        <w:trPr>
          <w:trHeight w:val="255"/>
        </w:trPr>
        <w:tc>
          <w:tcPr>
            <w:tcW w:w="2160" w:type="dxa"/>
            <w:tcBorders>
              <w:top w:val="nil"/>
              <w:left w:val="nil"/>
              <w:bottom w:val="nil"/>
              <w:right w:val="nil"/>
            </w:tcBorders>
            <w:shd w:val="clear" w:color="auto" w:fill="auto"/>
            <w:noWrap/>
            <w:vAlign w:val="bottom"/>
            <w:hideMark/>
          </w:tcPr>
          <w:p w14:paraId="2261C4D2"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Liquidity</w:t>
            </w:r>
          </w:p>
        </w:tc>
        <w:tc>
          <w:tcPr>
            <w:tcW w:w="1260" w:type="dxa"/>
            <w:tcBorders>
              <w:top w:val="nil"/>
              <w:left w:val="nil"/>
              <w:bottom w:val="nil"/>
              <w:right w:val="nil"/>
            </w:tcBorders>
            <w:shd w:val="clear" w:color="auto" w:fill="auto"/>
            <w:noWrap/>
            <w:vAlign w:val="bottom"/>
            <w:hideMark/>
          </w:tcPr>
          <w:p w14:paraId="1BC860BE"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71341231"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75AAD257"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-0.1180**</w:t>
            </w:r>
          </w:p>
        </w:tc>
        <w:tc>
          <w:tcPr>
            <w:tcW w:w="266" w:type="dxa"/>
            <w:tcBorders>
              <w:top w:val="nil"/>
              <w:left w:val="nil"/>
              <w:bottom w:val="nil"/>
              <w:right w:val="nil"/>
            </w:tcBorders>
            <w:shd w:val="clear" w:color="auto" w:fill="auto"/>
            <w:noWrap/>
            <w:vAlign w:val="bottom"/>
            <w:hideMark/>
          </w:tcPr>
          <w:p w14:paraId="35544D37"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E230953"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0.0135</w:t>
            </w:r>
          </w:p>
        </w:tc>
        <w:tc>
          <w:tcPr>
            <w:tcW w:w="1426" w:type="dxa"/>
            <w:gridSpan w:val="2"/>
            <w:tcBorders>
              <w:top w:val="nil"/>
              <w:left w:val="nil"/>
              <w:bottom w:val="nil"/>
              <w:right w:val="nil"/>
            </w:tcBorders>
            <w:shd w:val="clear" w:color="auto" w:fill="auto"/>
            <w:noWrap/>
            <w:vAlign w:val="bottom"/>
            <w:hideMark/>
          </w:tcPr>
          <w:p w14:paraId="2129A6E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-0.0696</w:t>
            </w:r>
          </w:p>
        </w:tc>
      </w:tr>
      <w:tr w:rsidR="00B04E3D" w:rsidRPr="00B04E3D" w14:paraId="5D578DF3" w14:textId="77777777" w:rsidTr="00B773FA">
        <w:trPr>
          <w:trHeight w:val="255"/>
        </w:trPr>
        <w:tc>
          <w:tcPr>
            <w:tcW w:w="2160" w:type="dxa"/>
            <w:tcBorders>
              <w:top w:val="nil"/>
              <w:left w:val="nil"/>
              <w:bottom w:val="nil"/>
              <w:right w:val="nil"/>
            </w:tcBorders>
            <w:shd w:val="clear" w:color="auto" w:fill="auto"/>
            <w:noWrap/>
            <w:vAlign w:val="bottom"/>
            <w:hideMark/>
          </w:tcPr>
          <w:p w14:paraId="1D4D0B2B"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2FB23B07"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638F3D2E"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092AEC0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(0.0589)</w:t>
            </w:r>
          </w:p>
        </w:tc>
        <w:tc>
          <w:tcPr>
            <w:tcW w:w="266" w:type="dxa"/>
            <w:tcBorders>
              <w:top w:val="nil"/>
              <w:left w:val="nil"/>
              <w:bottom w:val="nil"/>
              <w:right w:val="nil"/>
            </w:tcBorders>
            <w:shd w:val="clear" w:color="auto" w:fill="auto"/>
            <w:noWrap/>
            <w:vAlign w:val="bottom"/>
            <w:hideMark/>
          </w:tcPr>
          <w:p w14:paraId="4EAE5622"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112B450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(0.0542)</w:t>
            </w:r>
          </w:p>
        </w:tc>
        <w:tc>
          <w:tcPr>
            <w:tcW w:w="1426" w:type="dxa"/>
            <w:gridSpan w:val="2"/>
            <w:tcBorders>
              <w:top w:val="nil"/>
              <w:left w:val="nil"/>
              <w:bottom w:val="nil"/>
              <w:right w:val="nil"/>
            </w:tcBorders>
            <w:shd w:val="clear" w:color="auto" w:fill="auto"/>
            <w:noWrap/>
            <w:vAlign w:val="bottom"/>
            <w:hideMark/>
          </w:tcPr>
          <w:p w14:paraId="4403B58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(0.1235)</w:t>
            </w:r>
          </w:p>
        </w:tc>
      </w:tr>
      <w:tr w:rsidR="00B04E3D" w:rsidRPr="00B04E3D" w14:paraId="1576574C" w14:textId="77777777" w:rsidTr="00B773FA">
        <w:trPr>
          <w:trHeight w:val="255"/>
        </w:trPr>
        <w:tc>
          <w:tcPr>
            <w:tcW w:w="2160" w:type="dxa"/>
            <w:tcBorders>
              <w:top w:val="nil"/>
              <w:left w:val="nil"/>
              <w:bottom w:val="nil"/>
              <w:right w:val="nil"/>
            </w:tcBorders>
            <w:shd w:val="clear" w:color="auto" w:fill="auto"/>
            <w:noWrap/>
            <w:vAlign w:val="bottom"/>
            <w:hideMark/>
          </w:tcPr>
          <w:p w14:paraId="02ED8CEE"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Leverage</w:t>
            </w:r>
          </w:p>
        </w:tc>
        <w:tc>
          <w:tcPr>
            <w:tcW w:w="1260" w:type="dxa"/>
            <w:tcBorders>
              <w:top w:val="nil"/>
              <w:left w:val="nil"/>
              <w:bottom w:val="nil"/>
              <w:right w:val="nil"/>
            </w:tcBorders>
            <w:shd w:val="clear" w:color="auto" w:fill="auto"/>
            <w:noWrap/>
            <w:vAlign w:val="bottom"/>
            <w:hideMark/>
          </w:tcPr>
          <w:p w14:paraId="6E443E48"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-0.1028*</w:t>
            </w:r>
          </w:p>
        </w:tc>
        <w:tc>
          <w:tcPr>
            <w:tcW w:w="266" w:type="dxa"/>
            <w:tcBorders>
              <w:top w:val="nil"/>
              <w:left w:val="nil"/>
              <w:bottom w:val="nil"/>
              <w:right w:val="nil"/>
            </w:tcBorders>
            <w:shd w:val="clear" w:color="auto" w:fill="auto"/>
            <w:noWrap/>
            <w:vAlign w:val="bottom"/>
            <w:hideMark/>
          </w:tcPr>
          <w:p w14:paraId="4B16365C"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2E304F0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-0.2002**</w:t>
            </w:r>
          </w:p>
        </w:tc>
        <w:tc>
          <w:tcPr>
            <w:tcW w:w="266" w:type="dxa"/>
            <w:tcBorders>
              <w:top w:val="nil"/>
              <w:left w:val="nil"/>
              <w:bottom w:val="nil"/>
              <w:right w:val="nil"/>
            </w:tcBorders>
            <w:shd w:val="clear" w:color="auto" w:fill="auto"/>
            <w:noWrap/>
            <w:vAlign w:val="bottom"/>
            <w:hideMark/>
          </w:tcPr>
          <w:p w14:paraId="0E556138"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C7F5D5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-0.0541</w:t>
            </w:r>
          </w:p>
        </w:tc>
        <w:tc>
          <w:tcPr>
            <w:tcW w:w="1426" w:type="dxa"/>
            <w:gridSpan w:val="2"/>
            <w:tcBorders>
              <w:top w:val="nil"/>
              <w:left w:val="nil"/>
              <w:bottom w:val="nil"/>
              <w:right w:val="nil"/>
            </w:tcBorders>
            <w:shd w:val="clear" w:color="auto" w:fill="auto"/>
            <w:noWrap/>
            <w:vAlign w:val="bottom"/>
            <w:hideMark/>
          </w:tcPr>
          <w:p w14:paraId="3D2D7F38"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0.0955</w:t>
            </w:r>
          </w:p>
        </w:tc>
      </w:tr>
      <w:tr w:rsidR="00B04E3D" w:rsidRPr="00B04E3D" w14:paraId="040C1CF1" w14:textId="77777777" w:rsidTr="00B773FA">
        <w:trPr>
          <w:trHeight w:val="255"/>
        </w:trPr>
        <w:tc>
          <w:tcPr>
            <w:tcW w:w="2160" w:type="dxa"/>
            <w:tcBorders>
              <w:top w:val="nil"/>
              <w:left w:val="nil"/>
              <w:bottom w:val="nil"/>
              <w:right w:val="nil"/>
            </w:tcBorders>
            <w:shd w:val="clear" w:color="auto" w:fill="auto"/>
            <w:noWrap/>
            <w:vAlign w:val="bottom"/>
            <w:hideMark/>
          </w:tcPr>
          <w:p w14:paraId="77FFAAD0"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2648F43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(0.0584)</w:t>
            </w:r>
          </w:p>
        </w:tc>
        <w:tc>
          <w:tcPr>
            <w:tcW w:w="266" w:type="dxa"/>
            <w:tcBorders>
              <w:top w:val="nil"/>
              <w:left w:val="nil"/>
              <w:bottom w:val="nil"/>
              <w:right w:val="nil"/>
            </w:tcBorders>
            <w:shd w:val="clear" w:color="auto" w:fill="auto"/>
            <w:noWrap/>
            <w:vAlign w:val="bottom"/>
            <w:hideMark/>
          </w:tcPr>
          <w:p w14:paraId="57CD7ED4"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0187623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(0.0807)</w:t>
            </w:r>
          </w:p>
        </w:tc>
        <w:tc>
          <w:tcPr>
            <w:tcW w:w="266" w:type="dxa"/>
            <w:tcBorders>
              <w:top w:val="nil"/>
              <w:left w:val="nil"/>
              <w:bottom w:val="nil"/>
              <w:right w:val="nil"/>
            </w:tcBorders>
            <w:shd w:val="clear" w:color="auto" w:fill="auto"/>
            <w:noWrap/>
            <w:vAlign w:val="bottom"/>
            <w:hideMark/>
          </w:tcPr>
          <w:p w14:paraId="41D05BC2"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15CF1A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(0.0853)</w:t>
            </w:r>
          </w:p>
        </w:tc>
        <w:tc>
          <w:tcPr>
            <w:tcW w:w="1426" w:type="dxa"/>
            <w:gridSpan w:val="2"/>
            <w:tcBorders>
              <w:top w:val="nil"/>
              <w:left w:val="nil"/>
              <w:bottom w:val="nil"/>
              <w:right w:val="nil"/>
            </w:tcBorders>
            <w:shd w:val="clear" w:color="auto" w:fill="auto"/>
            <w:noWrap/>
            <w:vAlign w:val="bottom"/>
            <w:hideMark/>
          </w:tcPr>
          <w:p w14:paraId="15AF603F"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(0.1902)</w:t>
            </w:r>
          </w:p>
        </w:tc>
      </w:tr>
      <w:tr w:rsidR="00B04E3D" w:rsidRPr="00B04E3D" w14:paraId="1EEFB8CE" w14:textId="77777777" w:rsidTr="00B773FA">
        <w:trPr>
          <w:trHeight w:val="255"/>
        </w:trPr>
        <w:tc>
          <w:tcPr>
            <w:tcW w:w="2160" w:type="dxa"/>
            <w:tcBorders>
              <w:top w:val="nil"/>
              <w:left w:val="nil"/>
              <w:bottom w:val="nil"/>
              <w:right w:val="nil"/>
            </w:tcBorders>
            <w:shd w:val="clear" w:color="auto" w:fill="auto"/>
            <w:noWrap/>
            <w:vAlign w:val="bottom"/>
            <w:hideMark/>
          </w:tcPr>
          <w:p w14:paraId="5FBF0B09"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Profitability</w:t>
            </w:r>
          </w:p>
        </w:tc>
        <w:tc>
          <w:tcPr>
            <w:tcW w:w="1260" w:type="dxa"/>
            <w:tcBorders>
              <w:top w:val="nil"/>
              <w:left w:val="nil"/>
              <w:bottom w:val="nil"/>
              <w:right w:val="nil"/>
            </w:tcBorders>
            <w:shd w:val="clear" w:color="auto" w:fill="auto"/>
            <w:noWrap/>
            <w:vAlign w:val="bottom"/>
            <w:hideMark/>
          </w:tcPr>
          <w:p w14:paraId="3F174F08"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7C3FBBEC"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34193AA8"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14.0859***</w:t>
            </w:r>
          </w:p>
        </w:tc>
        <w:tc>
          <w:tcPr>
            <w:tcW w:w="266" w:type="dxa"/>
            <w:tcBorders>
              <w:top w:val="nil"/>
              <w:left w:val="nil"/>
              <w:bottom w:val="nil"/>
              <w:right w:val="nil"/>
            </w:tcBorders>
            <w:shd w:val="clear" w:color="auto" w:fill="auto"/>
            <w:noWrap/>
            <w:vAlign w:val="bottom"/>
            <w:hideMark/>
          </w:tcPr>
          <w:p w14:paraId="46EC047D"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677517D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8.2970***</w:t>
            </w:r>
          </w:p>
        </w:tc>
        <w:tc>
          <w:tcPr>
            <w:tcW w:w="1426" w:type="dxa"/>
            <w:gridSpan w:val="2"/>
            <w:tcBorders>
              <w:top w:val="nil"/>
              <w:left w:val="nil"/>
              <w:bottom w:val="nil"/>
              <w:right w:val="nil"/>
            </w:tcBorders>
            <w:shd w:val="clear" w:color="auto" w:fill="auto"/>
            <w:noWrap/>
            <w:vAlign w:val="bottom"/>
            <w:hideMark/>
          </w:tcPr>
          <w:p w14:paraId="122134B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3.5490*</w:t>
            </w:r>
          </w:p>
        </w:tc>
      </w:tr>
      <w:tr w:rsidR="00B04E3D" w:rsidRPr="00B04E3D" w14:paraId="02D9565A" w14:textId="77777777" w:rsidTr="00B773FA">
        <w:trPr>
          <w:trHeight w:val="255"/>
        </w:trPr>
        <w:tc>
          <w:tcPr>
            <w:tcW w:w="2160" w:type="dxa"/>
            <w:tcBorders>
              <w:top w:val="nil"/>
              <w:left w:val="nil"/>
              <w:bottom w:val="nil"/>
              <w:right w:val="nil"/>
            </w:tcBorders>
            <w:shd w:val="clear" w:color="auto" w:fill="auto"/>
            <w:noWrap/>
            <w:vAlign w:val="bottom"/>
            <w:hideMark/>
          </w:tcPr>
          <w:p w14:paraId="6D918163"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021DA8E8"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46E57C29"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6CD90D5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(2.0825)</w:t>
            </w:r>
          </w:p>
        </w:tc>
        <w:tc>
          <w:tcPr>
            <w:tcW w:w="266" w:type="dxa"/>
            <w:tcBorders>
              <w:top w:val="nil"/>
              <w:left w:val="nil"/>
              <w:bottom w:val="nil"/>
              <w:right w:val="nil"/>
            </w:tcBorders>
            <w:shd w:val="clear" w:color="auto" w:fill="auto"/>
            <w:noWrap/>
            <w:vAlign w:val="bottom"/>
            <w:hideMark/>
          </w:tcPr>
          <w:p w14:paraId="5DE25272"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4E81B8F4"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(1.7719)</w:t>
            </w:r>
          </w:p>
        </w:tc>
        <w:tc>
          <w:tcPr>
            <w:tcW w:w="1426" w:type="dxa"/>
            <w:gridSpan w:val="2"/>
            <w:tcBorders>
              <w:top w:val="nil"/>
              <w:left w:val="nil"/>
              <w:bottom w:val="nil"/>
              <w:right w:val="nil"/>
            </w:tcBorders>
            <w:shd w:val="clear" w:color="auto" w:fill="auto"/>
            <w:noWrap/>
            <w:vAlign w:val="bottom"/>
            <w:hideMark/>
          </w:tcPr>
          <w:p w14:paraId="61A144C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(1.8087)</w:t>
            </w:r>
          </w:p>
        </w:tc>
      </w:tr>
      <w:tr w:rsidR="00B04E3D" w:rsidRPr="00B04E3D" w14:paraId="5E23917D" w14:textId="77777777" w:rsidTr="00B773FA">
        <w:trPr>
          <w:trHeight w:val="255"/>
        </w:trPr>
        <w:tc>
          <w:tcPr>
            <w:tcW w:w="2160" w:type="dxa"/>
            <w:tcBorders>
              <w:top w:val="nil"/>
              <w:left w:val="nil"/>
              <w:bottom w:val="nil"/>
              <w:right w:val="nil"/>
            </w:tcBorders>
            <w:shd w:val="clear" w:color="auto" w:fill="auto"/>
            <w:noWrap/>
            <w:vAlign w:val="bottom"/>
            <w:hideMark/>
          </w:tcPr>
          <w:p w14:paraId="66D2610E"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Dividend</w:t>
            </w:r>
          </w:p>
        </w:tc>
        <w:tc>
          <w:tcPr>
            <w:tcW w:w="1260" w:type="dxa"/>
            <w:tcBorders>
              <w:top w:val="nil"/>
              <w:left w:val="nil"/>
              <w:bottom w:val="nil"/>
              <w:right w:val="nil"/>
            </w:tcBorders>
            <w:shd w:val="clear" w:color="auto" w:fill="auto"/>
            <w:noWrap/>
            <w:vAlign w:val="bottom"/>
            <w:hideMark/>
          </w:tcPr>
          <w:p w14:paraId="2FE2564B"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19153D8F"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5EE76745"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6E71B77A"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1B98B55D"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-0.0304**</w:t>
            </w:r>
          </w:p>
        </w:tc>
        <w:tc>
          <w:tcPr>
            <w:tcW w:w="1426" w:type="dxa"/>
            <w:gridSpan w:val="2"/>
            <w:tcBorders>
              <w:top w:val="nil"/>
              <w:left w:val="nil"/>
              <w:bottom w:val="nil"/>
              <w:right w:val="nil"/>
            </w:tcBorders>
            <w:shd w:val="clear" w:color="auto" w:fill="auto"/>
            <w:noWrap/>
            <w:vAlign w:val="bottom"/>
            <w:hideMark/>
          </w:tcPr>
          <w:p w14:paraId="4C7275F2"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0.2490*</w:t>
            </w:r>
          </w:p>
        </w:tc>
      </w:tr>
      <w:tr w:rsidR="00B04E3D" w:rsidRPr="00B04E3D" w14:paraId="684291A9" w14:textId="77777777" w:rsidTr="00B773FA">
        <w:trPr>
          <w:trHeight w:val="255"/>
        </w:trPr>
        <w:tc>
          <w:tcPr>
            <w:tcW w:w="2160" w:type="dxa"/>
            <w:tcBorders>
              <w:top w:val="nil"/>
              <w:left w:val="nil"/>
              <w:bottom w:val="nil"/>
              <w:right w:val="nil"/>
            </w:tcBorders>
            <w:shd w:val="clear" w:color="auto" w:fill="auto"/>
            <w:noWrap/>
            <w:vAlign w:val="bottom"/>
            <w:hideMark/>
          </w:tcPr>
          <w:p w14:paraId="15915AAE"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045078C4"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1E35A97B"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0BB3A8F5"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0665673F"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B367DC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(0.0130)</w:t>
            </w:r>
          </w:p>
        </w:tc>
        <w:tc>
          <w:tcPr>
            <w:tcW w:w="1426" w:type="dxa"/>
            <w:gridSpan w:val="2"/>
            <w:tcBorders>
              <w:top w:val="nil"/>
              <w:left w:val="nil"/>
              <w:bottom w:val="nil"/>
              <w:right w:val="nil"/>
            </w:tcBorders>
            <w:shd w:val="clear" w:color="auto" w:fill="auto"/>
            <w:noWrap/>
            <w:vAlign w:val="bottom"/>
            <w:hideMark/>
          </w:tcPr>
          <w:p w14:paraId="748332D8"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(0.1399)</w:t>
            </w:r>
          </w:p>
        </w:tc>
      </w:tr>
      <w:tr w:rsidR="00B04E3D" w:rsidRPr="00B04E3D" w14:paraId="319B3D56" w14:textId="77777777" w:rsidTr="00B773FA">
        <w:trPr>
          <w:trHeight w:val="255"/>
        </w:trPr>
        <w:tc>
          <w:tcPr>
            <w:tcW w:w="2160" w:type="dxa"/>
            <w:tcBorders>
              <w:top w:val="nil"/>
              <w:left w:val="nil"/>
              <w:bottom w:val="nil"/>
              <w:right w:val="nil"/>
            </w:tcBorders>
            <w:shd w:val="clear" w:color="auto" w:fill="auto"/>
            <w:noWrap/>
            <w:vAlign w:val="bottom"/>
            <w:hideMark/>
          </w:tcPr>
          <w:p w14:paraId="5CDAF0B6"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Constant</w:t>
            </w:r>
          </w:p>
        </w:tc>
        <w:tc>
          <w:tcPr>
            <w:tcW w:w="1260" w:type="dxa"/>
            <w:tcBorders>
              <w:top w:val="nil"/>
              <w:left w:val="nil"/>
              <w:bottom w:val="nil"/>
              <w:right w:val="nil"/>
            </w:tcBorders>
            <w:shd w:val="clear" w:color="auto" w:fill="auto"/>
            <w:noWrap/>
            <w:vAlign w:val="bottom"/>
            <w:hideMark/>
          </w:tcPr>
          <w:p w14:paraId="56515AA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0.4322***</w:t>
            </w:r>
          </w:p>
        </w:tc>
        <w:tc>
          <w:tcPr>
            <w:tcW w:w="266" w:type="dxa"/>
            <w:tcBorders>
              <w:top w:val="nil"/>
              <w:left w:val="nil"/>
              <w:bottom w:val="nil"/>
              <w:right w:val="nil"/>
            </w:tcBorders>
            <w:shd w:val="clear" w:color="auto" w:fill="auto"/>
            <w:noWrap/>
            <w:vAlign w:val="bottom"/>
            <w:hideMark/>
          </w:tcPr>
          <w:p w14:paraId="0A104930"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2DD45B9A"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1.1414***</w:t>
            </w:r>
          </w:p>
        </w:tc>
        <w:tc>
          <w:tcPr>
            <w:tcW w:w="266" w:type="dxa"/>
            <w:tcBorders>
              <w:top w:val="nil"/>
              <w:left w:val="nil"/>
              <w:bottom w:val="nil"/>
              <w:right w:val="nil"/>
            </w:tcBorders>
            <w:shd w:val="clear" w:color="auto" w:fill="auto"/>
            <w:noWrap/>
            <w:vAlign w:val="bottom"/>
            <w:hideMark/>
          </w:tcPr>
          <w:p w14:paraId="46CB0061"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4DA767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1.1604***</w:t>
            </w:r>
          </w:p>
        </w:tc>
        <w:tc>
          <w:tcPr>
            <w:tcW w:w="1426" w:type="dxa"/>
            <w:gridSpan w:val="2"/>
            <w:tcBorders>
              <w:top w:val="nil"/>
              <w:left w:val="nil"/>
              <w:bottom w:val="nil"/>
              <w:right w:val="nil"/>
            </w:tcBorders>
            <w:shd w:val="clear" w:color="auto" w:fill="auto"/>
            <w:noWrap/>
            <w:vAlign w:val="bottom"/>
            <w:hideMark/>
          </w:tcPr>
          <w:p w14:paraId="7C00467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1.5089**</w:t>
            </w:r>
          </w:p>
        </w:tc>
      </w:tr>
      <w:tr w:rsidR="00B04E3D" w:rsidRPr="00B04E3D" w14:paraId="30C7F33E" w14:textId="77777777" w:rsidTr="00B773FA">
        <w:trPr>
          <w:trHeight w:val="255"/>
        </w:trPr>
        <w:tc>
          <w:tcPr>
            <w:tcW w:w="2160" w:type="dxa"/>
            <w:tcBorders>
              <w:top w:val="nil"/>
              <w:left w:val="nil"/>
              <w:bottom w:val="nil"/>
              <w:right w:val="nil"/>
            </w:tcBorders>
            <w:shd w:val="clear" w:color="auto" w:fill="auto"/>
            <w:noWrap/>
            <w:vAlign w:val="bottom"/>
            <w:hideMark/>
          </w:tcPr>
          <w:p w14:paraId="2B8CCF74"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53FF6C5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(0.0831)</w:t>
            </w:r>
          </w:p>
        </w:tc>
        <w:tc>
          <w:tcPr>
            <w:tcW w:w="266" w:type="dxa"/>
            <w:tcBorders>
              <w:top w:val="nil"/>
              <w:left w:val="nil"/>
              <w:bottom w:val="nil"/>
              <w:right w:val="nil"/>
            </w:tcBorders>
            <w:shd w:val="clear" w:color="auto" w:fill="auto"/>
            <w:noWrap/>
            <w:vAlign w:val="bottom"/>
            <w:hideMark/>
          </w:tcPr>
          <w:p w14:paraId="08ECC963"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7EF684C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(0.2491)</w:t>
            </w:r>
          </w:p>
        </w:tc>
        <w:tc>
          <w:tcPr>
            <w:tcW w:w="266" w:type="dxa"/>
            <w:tcBorders>
              <w:top w:val="nil"/>
              <w:left w:val="nil"/>
              <w:bottom w:val="nil"/>
              <w:right w:val="nil"/>
            </w:tcBorders>
            <w:shd w:val="clear" w:color="auto" w:fill="auto"/>
            <w:noWrap/>
            <w:vAlign w:val="bottom"/>
            <w:hideMark/>
          </w:tcPr>
          <w:p w14:paraId="52508768"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766774C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(0.1858)</w:t>
            </w:r>
          </w:p>
        </w:tc>
        <w:tc>
          <w:tcPr>
            <w:tcW w:w="1426" w:type="dxa"/>
            <w:gridSpan w:val="2"/>
            <w:tcBorders>
              <w:top w:val="nil"/>
              <w:left w:val="nil"/>
              <w:bottom w:val="nil"/>
              <w:right w:val="nil"/>
            </w:tcBorders>
            <w:shd w:val="clear" w:color="auto" w:fill="auto"/>
            <w:noWrap/>
            <w:vAlign w:val="bottom"/>
            <w:hideMark/>
          </w:tcPr>
          <w:p w14:paraId="79F7C185"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(0.5255)</w:t>
            </w:r>
          </w:p>
        </w:tc>
      </w:tr>
      <w:tr w:rsidR="00B04E3D" w:rsidRPr="00B04E3D" w14:paraId="6A3137A5" w14:textId="77777777" w:rsidTr="00B773FA">
        <w:trPr>
          <w:trHeight w:val="255"/>
        </w:trPr>
        <w:tc>
          <w:tcPr>
            <w:tcW w:w="2160" w:type="dxa"/>
            <w:tcBorders>
              <w:top w:val="nil"/>
              <w:left w:val="nil"/>
              <w:bottom w:val="nil"/>
              <w:right w:val="nil"/>
            </w:tcBorders>
            <w:shd w:val="clear" w:color="auto" w:fill="auto"/>
            <w:noWrap/>
            <w:vAlign w:val="bottom"/>
            <w:hideMark/>
          </w:tcPr>
          <w:p w14:paraId="01CB68F8"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260" w:type="dxa"/>
            <w:tcBorders>
              <w:top w:val="nil"/>
              <w:left w:val="nil"/>
              <w:bottom w:val="nil"/>
              <w:right w:val="nil"/>
            </w:tcBorders>
            <w:shd w:val="clear" w:color="auto" w:fill="auto"/>
            <w:noWrap/>
            <w:vAlign w:val="bottom"/>
            <w:hideMark/>
          </w:tcPr>
          <w:p w14:paraId="7386A498"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0F654566"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bottom"/>
            <w:hideMark/>
          </w:tcPr>
          <w:p w14:paraId="3B240CEE"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266" w:type="dxa"/>
            <w:tcBorders>
              <w:top w:val="nil"/>
              <w:left w:val="nil"/>
              <w:bottom w:val="nil"/>
              <w:right w:val="nil"/>
            </w:tcBorders>
            <w:shd w:val="clear" w:color="auto" w:fill="auto"/>
            <w:noWrap/>
            <w:vAlign w:val="bottom"/>
            <w:hideMark/>
          </w:tcPr>
          <w:p w14:paraId="7110ED1C"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bottom"/>
            <w:hideMark/>
          </w:tcPr>
          <w:p w14:paraId="31654588"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426" w:type="dxa"/>
            <w:gridSpan w:val="2"/>
            <w:tcBorders>
              <w:top w:val="nil"/>
              <w:left w:val="nil"/>
              <w:bottom w:val="nil"/>
              <w:right w:val="nil"/>
            </w:tcBorders>
            <w:shd w:val="clear" w:color="auto" w:fill="auto"/>
            <w:noWrap/>
            <w:vAlign w:val="bottom"/>
            <w:hideMark/>
          </w:tcPr>
          <w:p w14:paraId="15293DB6" w14:textId="77777777" w:rsidR="00B04E3D" w:rsidRPr="00B04E3D" w:rsidRDefault="00B04E3D" w:rsidP="00B04E3D">
            <w:pPr>
              <w:widowControl w:val="0"/>
              <w:spacing w:after="0"/>
              <w:ind w:left="0" w:firstLine="0"/>
              <w:jc w:val="center"/>
              <w:rPr>
                <w:rFonts w:eastAsia="SimSun"/>
                <w:color w:val="auto"/>
                <w:sz w:val="20"/>
                <w:szCs w:val="20"/>
                <w:lang w:eastAsia="en-US"/>
              </w:rPr>
            </w:pPr>
          </w:p>
        </w:tc>
      </w:tr>
      <w:tr w:rsidR="00B04E3D" w:rsidRPr="00B04E3D" w14:paraId="69BE8905" w14:textId="77777777" w:rsidTr="00B773FA">
        <w:trPr>
          <w:trHeight w:val="255"/>
        </w:trPr>
        <w:tc>
          <w:tcPr>
            <w:tcW w:w="2160" w:type="dxa"/>
            <w:tcBorders>
              <w:top w:val="nil"/>
              <w:left w:val="nil"/>
              <w:bottom w:val="nil"/>
              <w:right w:val="nil"/>
            </w:tcBorders>
            <w:shd w:val="clear" w:color="auto" w:fill="auto"/>
            <w:noWrap/>
            <w:vAlign w:val="bottom"/>
            <w:hideMark/>
          </w:tcPr>
          <w:p w14:paraId="7D30AE8C"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Control for standard error</w:t>
            </w:r>
          </w:p>
        </w:tc>
        <w:tc>
          <w:tcPr>
            <w:tcW w:w="1260" w:type="dxa"/>
            <w:tcBorders>
              <w:top w:val="nil"/>
              <w:left w:val="nil"/>
              <w:bottom w:val="nil"/>
              <w:right w:val="nil"/>
            </w:tcBorders>
            <w:shd w:val="clear" w:color="auto" w:fill="auto"/>
            <w:noWrap/>
            <w:vAlign w:val="center"/>
            <w:hideMark/>
          </w:tcPr>
          <w:p w14:paraId="4FA5297E"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Yes</w:t>
            </w:r>
          </w:p>
        </w:tc>
        <w:tc>
          <w:tcPr>
            <w:tcW w:w="266" w:type="dxa"/>
            <w:tcBorders>
              <w:top w:val="nil"/>
              <w:left w:val="nil"/>
              <w:bottom w:val="nil"/>
              <w:right w:val="nil"/>
            </w:tcBorders>
            <w:shd w:val="clear" w:color="auto" w:fill="auto"/>
            <w:noWrap/>
            <w:vAlign w:val="center"/>
            <w:hideMark/>
          </w:tcPr>
          <w:p w14:paraId="0E35B1B3"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center"/>
            <w:hideMark/>
          </w:tcPr>
          <w:p w14:paraId="3CEEDB39"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Yes</w:t>
            </w:r>
          </w:p>
        </w:tc>
        <w:tc>
          <w:tcPr>
            <w:tcW w:w="266" w:type="dxa"/>
            <w:tcBorders>
              <w:top w:val="nil"/>
              <w:left w:val="nil"/>
              <w:bottom w:val="nil"/>
              <w:right w:val="nil"/>
            </w:tcBorders>
            <w:shd w:val="clear" w:color="auto" w:fill="auto"/>
            <w:noWrap/>
            <w:vAlign w:val="center"/>
            <w:hideMark/>
          </w:tcPr>
          <w:p w14:paraId="325CE037"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center"/>
            <w:hideMark/>
          </w:tcPr>
          <w:p w14:paraId="301274E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Yes</w:t>
            </w:r>
          </w:p>
        </w:tc>
        <w:tc>
          <w:tcPr>
            <w:tcW w:w="1426" w:type="dxa"/>
            <w:gridSpan w:val="2"/>
            <w:tcBorders>
              <w:top w:val="nil"/>
              <w:left w:val="nil"/>
              <w:bottom w:val="nil"/>
              <w:right w:val="nil"/>
            </w:tcBorders>
            <w:shd w:val="clear" w:color="auto" w:fill="auto"/>
            <w:noWrap/>
            <w:vAlign w:val="center"/>
            <w:hideMark/>
          </w:tcPr>
          <w:p w14:paraId="4F1B6A01"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Yes</w:t>
            </w:r>
          </w:p>
        </w:tc>
      </w:tr>
      <w:tr w:rsidR="00B04E3D" w:rsidRPr="00B04E3D" w14:paraId="65D036BA" w14:textId="77777777" w:rsidTr="00B773FA">
        <w:trPr>
          <w:trHeight w:val="255"/>
        </w:trPr>
        <w:tc>
          <w:tcPr>
            <w:tcW w:w="2160" w:type="dxa"/>
            <w:tcBorders>
              <w:top w:val="nil"/>
              <w:left w:val="nil"/>
              <w:bottom w:val="nil"/>
              <w:right w:val="nil"/>
            </w:tcBorders>
            <w:shd w:val="clear" w:color="auto" w:fill="auto"/>
            <w:noWrap/>
            <w:vAlign w:val="bottom"/>
            <w:hideMark/>
          </w:tcPr>
          <w:p w14:paraId="4D9B6ACB"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Observations</w:t>
            </w:r>
          </w:p>
        </w:tc>
        <w:tc>
          <w:tcPr>
            <w:tcW w:w="1260" w:type="dxa"/>
            <w:tcBorders>
              <w:top w:val="nil"/>
              <w:left w:val="nil"/>
              <w:bottom w:val="nil"/>
              <w:right w:val="nil"/>
            </w:tcBorders>
            <w:shd w:val="clear" w:color="auto" w:fill="auto"/>
            <w:noWrap/>
            <w:vAlign w:val="center"/>
            <w:hideMark/>
          </w:tcPr>
          <w:p w14:paraId="5E5CCFC0"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95</w:t>
            </w:r>
          </w:p>
        </w:tc>
        <w:tc>
          <w:tcPr>
            <w:tcW w:w="266" w:type="dxa"/>
            <w:tcBorders>
              <w:top w:val="nil"/>
              <w:left w:val="nil"/>
              <w:bottom w:val="nil"/>
              <w:right w:val="nil"/>
            </w:tcBorders>
            <w:shd w:val="clear" w:color="auto" w:fill="auto"/>
            <w:noWrap/>
            <w:vAlign w:val="center"/>
            <w:hideMark/>
          </w:tcPr>
          <w:p w14:paraId="299AE912"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nil"/>
              <w:right w:val="nil"/>
            </w:tcBorders>
            <w:shd w:val="clear" w:color="auto" w:fill="auto"/>
            <w:noWrap/>
            <w:vAlign w:val="center"/>
            <w:hideMark/>
          </w:tcPr>
          <w:p w14:paraId="36EC15BB"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95</w:t>
            </w:r>
          </w:p>
        </w:tc>
        <w:tc>
          <w:tcPr>
            <w:tcW w:w="266" w:type="dxa"/>
            <w:tcBorders>
              <w:top w:val="nil"/>
              <w:left w:val="nil"/>
              <w:bottom w:val="nil"/>
              <w:right w:val="nil"/>
            </w:tcBorders>
            <w:shd w:val="clear" w:color="auto" w:fill="auto"/>
            <w:noWrap/>
            <w:vAlign w:val="center"/>
            <w:hideMark/>
          </w:tcPr>
          <w:p w14:paraId="1A0A77A2"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nil"/>
              <w:right w:val="nil"/>
            </w:tcBorders>
            <w:shd w:val="clear" w:color="auto" w:fill="auto"/>
            <w:noWrap/>
            <w:vAlign w:val="center"/>
            <w:hideMark/>
          </w:tcPr>
          <w:p w14:paraId="1E9C4D62"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95</w:t>
            </w:r>
          </w:p>
        </w:tc>
        <w:tc>
          <w:tcPr>
            <w:tcW w:w="1426" w:type="dxa"/>
            <w:gridSpan w:val="2"/>
            <w:tcBorders>
              <w:top w:val="nil"/>
              <w:left w:val="nil"/>
              <w:bottom w:val="nil"/>
              <w:right w:val="nil"/>
            </w:tcBorders>
            <w:shd w:val="clear" w:color="auto" w:fill="auto"/>
            <w:noWrap/>
            <w:vAlign w:val="center"/>
            <w:hideMark/>
          </w:tcPr>
          <w:p w14:paraId="6D515FA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85</w:t>
            </w:r>
          </w:p>
        </w:tc>
      </w:tr>
      <w:tr w:rsidR="00B04E3D" w:rsidRPr="00B04E3D" w14:paraId="3C23384A" w14:textId="77777777" w:rsidTr="00B773FA">
        <w:trPr>
          <w:trHeight w:val="255"/>
        </w:trPr>
        <w:tc>
          <w:tcPr>
            <w:tcW w:w="2160" w:type="dxa"/>
            <w:tcBorders>
              <w:top w:val="nil"/>
              <w:left w:val="nil"/>
              <w:bottom w:val="single" w:sz="4" w:space="0" w:color="000000"/>
              <w:right w:val="nil"/>
            </w:tcBorders>
            <w:shd w:val="clear" w:color="auto" w:fill="auto"/>
            <w:noWrap/>
            <w:vAlign w:val="bottom"/>
            <w:hideMark/>
          </w:tcPr>
          <w:p w14:paraId="7FD0777A" w14:textId="77777777" w:rsidR="00B04E3D" w:rsidRPr="00B04E3D" w:rsidRDefault="00B04E3D" w:rsidP="00B04E3D">
            <w:pPr>
              <w:widowControl w:val="0"/>
              <w:spacing w:after="0"/>
              <w:ind w:left="0" w:firstLine="0"/>
              <w:jc w:val="left"/>
              <w:rPr>
                <w:rFonts w:eastAsia="SimSun"/>
                <w:color w:val="auto"/>
                <w:sz w:val="20"/>
                <w:szCs w:val="20"/>
                <w:lang w:eastAsia="en-US"/>
              </w:rPr>
            </w:pPr>
            <w:r w:rsidRPr="00B04E3D">
              <w:rPr>
                <w:rFonts w:eastAsia="SimSun"/>
                <w:color w:val="auto"/>
                <w:sz w:val="20"/>
                <w:szCs w:val="20"/>
                <w:lang w:eastAsia="en-US"/>
              </w:rPr>
              <w:t>Number of firms</w:t>
            </w:r>
          </w:p>
        </w:tc>
        <w:tc>
          <w:tcPr>
            <w:tcW w:w="1260" w:type="dxa"/>
            <w:tcBorders>
              <w:top w:val="nil"/>
              <w:left w:val="nil"/>
              <w:bottom w:val="single" w:sz="4" w:space="0" w:color="000000"/>
              <w:right w:val="nil"/>
            </w:tcBorders>
            <w:shd w:val="clear" w:color="auto" w:fill="auto"/>
            <w:noWrap/>
            <w:vAlign w:val="center"/>
            <w:hideMark/>
          </w:tcPr>
          <w:p w14:paraId="7B847176"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19</w:t>
            </w:r>
          </w:p>
        </w:tc>
        <w:tc>
          <w:tcPr>
            <w:tcW w:w="266" w:type="dxa"/>
            <w:tcBorders>
              <w:top w:val="nil"/>
              <w:left w:val="nil"/>
              <w:bottom w:val="single" w:sz="4" w:space="0" w:color="000000"/>
              <w:right w:val="nil"/>
            </w:tcBorders>
            <w:shd w:val="clear" w:color="auto" w:fill="auto"/>
            <w:noWrap/>
            <w:vAlign w:val="center"/>
            <w:hideMark/>
          </w:tcPr>
          <w:p w14:paraId="2301BCAC"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85" w:type="dxa"/>
            <w:tcBorders>
              <w:top w:val="nil"/>
              <w:left w:val="nil"/>
              <w:bottom w:val="single" w:sz="4" w:space="0" w:color="000000"/>
              <w:right w:val="nil"/>
            </w:tcBorders>
            <w:shd w:val="clear" w:color="auto" w:fill="auto"/>
            <w:noWrap/>
            <w:vAlign w:val="center"/>
            <w:hideMark/>
          </w:tcPr>
          <w:p w14:paraId="14AFCF41"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19</w:t>
            </w:r>
          </w:p>
        </w:tc>
        <w:tc>
          <w:tcPr>
            <w:tcW w:w="266" w:type="dxa"/>
            <w:tcBorders>
              <w:top w:val="nil"/>
              <w:left w:val="nil"/>
              <w:bottom w:val="single" w:sz="4" w:space="0" w:color="000000"/>
              <w:right w:val="nil"/>
            </w:tcBorders>
            <w:shd w:val="clear" w:color="auto" w:fill="auto"/>
            <w:noWrap/>
            <w:vAlign w:val="center"/>
            <w:hideMark/>
          </w:tcPr>
          <w:p w14:paraId="37AEB001" w14:textId="77777777" w:rsidR="00B04E3D" w:rsidRPr="00B04E3D" w:rsidRDefault="00B04E3D" w:rsidP="00B04E3D">
            <w:pPr>
              <w:widowControl w:val="0"/>
              <w:spacing w:after="0"/>
              <w:ind w:left="0" w:firstLine="0"/>
              <w:jc w:val="center"/>
              <w:rPr>
                <w:rFonts w:eastAsia="SimSun"/>
                <w:color w:val="auto"/>
                <w:sz w:val="20"/>
                <w:szCs w:val="20"/>
                <w:lang w:eastAsia="en-US"/>
              </w:rPr>
            </w:pPr>
          </w:p>
        </w:tc>
        <w:tc>
          <w:tcPr>
            <w:tcW w:w="1575" w:type="dxa"/>
            <w:tcBorders>
              <w:top w:val="nil"/>
              <w:left w:val="nil"/>
              <w:bottom w:val="single" w:sz="4" w:space="0" w:color="000000"/>
              <w:right w:val="nil"/>
            </w:tcBorders>
            <w:shd w:val="clear" w:color="auto" w:fill="auto"/>
            <w:noWrap/>
            <w:vAlign w:val="center"/>
            <w:hideMark/>
          </w:tcPr>
          <w:p w14:paraId="43A2E377"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19</w:t>
            </w:r>
          </w:p>
        </w:tc>
        <w:tc>
          <w:tcPr>
            <w:tcW w:w="1426" w:type="dxa"/>
            <w:gridSpan w:val="2"/>
            <w:tcBorders>
              <w:top w:val="nil"/>
              <w:left w:val="nil"/>
              <w:bottom w:val="single" w:sz="4" w:space="0" w:color="auto"/>
              <w:right w:val="nil"/>
            </w:tcBorders>
            <w:shd w:val="clear" w:color="auto" w:fill="auto"/>
            <w:noWrap/>
            <w:vAlign w:val="center"/>
            <w:hideMark/>
          </w:tcPr>
          <w:p w14:paraId="5AFD228C" w14:textId="77777777" w:rsidR="00B04E3D" w:rsidRPr="00B04E3D" w:rsidRDefault="00B04E3D" w:rsidP="00B04E3D">
            <w:pPr>
              <w:widowControl w:val="0"/>
              <w:spacing w:after="0"/>
              <w:ind w:left="0" w:firstLine="0"/>
              <w:jc w:val="center"/>
              <w:rPr>
                <w:rFonts w:eastAsia="SimSun"/>
                <w:color w:val="auto"/>
                <w:sz w:val="20"/>
                <w:szCs w:val="20"/>
                <w:lang w:eastAsia="en-US"/>
              </w:rPr>
            </w:pPr>
            <w:r w:rsidRPr="00B04E3D">
              <w:rPr>
                <w:rFonts w:eastAsia="SimSun"/>
                <w:color w:val="auto"/>
                <w:sz w:val="20"/>
                <w:szCs w:val="20"/>
                <w:lang w:eastAsia="en-US"/>
              </w:rPr>
              <w:t>17</w:t>
            </w:r>
          </w:p>
        </w:tc>
      </w:tr>
      <w:tr w:rsidR="00B04E3D" w:rsidRPr="00B04E3D" w14:paraId="00B0506D" w14:textId="77777777" w:rsidTr="00B773FA">
        <w:trPr>
          <w:gridAfter w:val="1"/>
          <w:wAfter w:w="6" w:type="dxa"/>
          <w:trHeight w:val="255"/>
        </w:trPr>
        <w:tc>
          <w:tcPr>
            <w:tcW w:w="8532" w:type="dxa"/>
            <w:gridSpan w:val="7"/>
            <w:tcBorders>
              <w:top w:val="nil"/>
              <w:left w:val="nil"/>
              <w:bottom w:val="nil"/>
              <w:right w:val="nil"/>
            </w:tcBorders>
            <w:shd w:val="clear" w:color="auto" w:fill="auto"/>
            <w:noWrap/>
            <w:vAlign w:val="bottom"/>
            <w:hideMark/>
          </w:tcPr>
          <w:p w14:paraId="2E334A26" w14:textId="77777777" w:rsidR="00B04E3D" w:rsidRPr="00B04E3D" w:rsidRDefault="00B04E3D" w:rsidP="00B04E3D">
            <w:pPr>
              <w:widowControl w:val="0"/>
              <w:spacing w:after="0"/>
              <w:ind w:left="0" w:firstLine="0"/>
              <w:rPr>
                <w:rFonts w:eastAsia="SimSun"/>
                <w:color w:val="auto"/>
                <w:sz w:val="18"/>
                <w:szCs w:val="18"/>
                <w:lang w:eastAsia="en-US"/>
              </w:rPr>
            </w:pPr>
            <w:r w:rsidRPr="00B04E3D">
              <w:rPr>
                <w:rFonts w:eastAsia="SimSun"/>
                <w:color w:val="auto"/>
                <w:sz w:val="18"/>
                <w:szCs w:val="18"/>
                <w:lang w:eastAsia="en-US"/>
              </w:rPr>
              <w:t xml:space="preserve">Notes: The number in brackets is the robust standard error. </w:t>
            </w:r>
            <w:proofErr w:type="spellStart"/>
            <w:r w:rsidRPr="00B04E3D">
              <w:rPr>
                <w:rFonts w:eastAsia="SimSun"/>
                <w:color w:val="auto"/>
                <w:sz w:val="18"/>
                <w:szCs w:val="18"/>
                <w:lang w:eastAsia="en-US"/>
              </w:rPr>
              <w:t>Accentric</w:t>
            </w:r>
            <w:proofErr w:type="spellEnd"/>
            <w:r w:rsidRPr="00B04E3D">
              <w:rPr>
                <w:rFonts w:eastAsia="SimSun"/>
                <w:color w:val="auto"/>
                <w:sz w:val="18"/>
                <w:szCs w:val="18"/>
                <w:lang w:eastAsia="en-US"/>
              </w:rPr>
              <w:t xml:space="preserve"> symbols ***, **, and * are significant at the 0.01, 0.05, and 0.1 levels.</w:t>
            </w:r>
          </w:p>
        </w:tc>
      </w:tr>
    </w:tbl>
    <w:p w14:paraId="0DADF273" w14:textId="77777777" w:rsidR="00B04E3D" w:rsidRPr="00B04E3D" w:rsidRDefault="00B04E3D" w:rsidP="00B04E3D">
      <w:pPr>
        <w:spacing w:line="276" w:lineRule="auto"/>
        <w:rPr>
          <w:lang w:val="id-ID" w:eastAsia="id-ID"/>
        </w:rPr>
      </w:pPr>
    </w:p>
    <w:p w14:paraId="29232312" w14:textId="77777777" w:rsidR="00B04E3D" w:rsidRDefault="00B04E3D" w:rsidP="00B04E3D">
      <w:pPr>
        <w:spacing w:line="276" w:lineRule="auto"/>
        <w:rPr>
          <w:lang w:val="en-US" w:eastAsia="id-ID"/>
        </w:rPr>
      </w:pPr>
      <w:r w:rsidRPr="00C20D3B">
        <w:rPr>
          <w:lang w:val="en-US" w:eastAsia="id-ID"/>
        </w:rPr>
        <w:t>The main objective of this study is to investigate the role of the proportion of funding on dividend policy and whether dividend policy is attractive to investors.</w:t>
      </w:r>
      <w:r>
        <w:rPr>
          <w:lang w:val="en-US" w:eastAsia="id-ID"/>
        </w:rPr>
        <w:t xml:space="preserve"> </w:t>
      </w:r>
      <w:r w:rsidRPr="002D5347">
        <w:rPr>
          <w:lang w:val="en-US" w:eastAsia="id-ID"/>
        </w:rPr>
        <w:t>Leverage testing on dividend policy shows the direction coefficient value of -0.1028</w:t>
      </w:r>
      <w:r>
        <w:rPr>
          <w:lang w:val="en-US" w:eastAsia="id-ID"/>
        </w:rPr>
        <w:t>,</w:t>
      </w:r>
      <w:r w:rsidRPr="002D5347">
        <w:rPr>
          <w:lang w:val="en-US" w:eastAsia="id-ID"/>
        </w:rPr>
        <w:t xml:space="preserve"> significant at 0.1. Th</w:t>
      </w:r>
      <w:r>
        <w:rPr>
          <w:lang w:val="en-US" w:eastAsia="id-ID"/>
        </w:rPr>
        <w:t>is</w:t>
      </w:r>
      <w:r w:rsidRPr="002D5347">
        <w:rPr>
          <w:lang w:val="en-US" w:eastAsia="id-ID"/>
        </w:rPr>
        <w:t xml:space="preserve"> result indicate</w:t>
      </w:r>
      <w:r>
        <w:rPr>
          <w:lang w:val="en-US" w:eastAsia="id-ID"/>
        </w:rPr>
        <w:t>s</w:t>
      </w:r>
      <w:r w:rsidRPr="002D5347">
        <w:rPr>
          <w:lang w:val="en-US" w:eastAsia="id-ID"/>
        </w:rPr>
        <w:t xml:space="preserve"> that </w:t>
      </w:r>
      <w:r>
        <w:rPr>
          <w:lang w:val="en-US" w:eastAsia="id-ID"/>
        </w:rPr>
        <w:t>dividend payments are</w:t>
      </w:r>
      <w:r w:rsidRPr="002D5347">
        <w:rPr>
          <w:lang w:val="en-US" w:eastAsia="id-ID"/>
        </w:rPr>
        <w:t xml:space="preserve"> made by considering the proportion of the </w:t>
      </w:r>
      <w:r>
        <w:rPr>
          <w:lang w:val="en-US" w:eastAsia="id-ID"/>
        </w:rPr>
        <w:t>firm</w:t>
      </w:r>
      <w:r w:rsidRPr="002D5347">
        <w:rPr>
          <w:lang w:val="en-US" w:eastAsia="id-ID"/>
        </w:rPr>
        <w:t>'s debt.</w:t>
      </w:r>
      <w:r>
        <w:rPr>
          <w:lang w:val="en-US" w:eastAsia="id-ID"/>
        </w:rPr>
        <w:t xml:space="preserve"> </w:t>
      </w:r>
      <w:r w:rsidRPr="005372D2">
        <w:rPr>
          <w:lang w:val="en-US" w:eastAsia="id-ID"/>
        </w:rPr>
        <w:t>This result accepted the third hypothesis in this study.</w:t>
      </w:r>
      <w:r>
        <w:rPr>
          <w:lang w:val="en-US" w:eastAsia="id-ID"/>
        </w:rPr>
        <w:t xml:space="preserve"> </w:t>
      </w:r>
      <w:r w:rsidRPr="00C74B87">
        <w:rPr>
          <w:lang w:val="en-US" w:eastAsia="id-ID"/>
        </w:rPr>
        <w:t xml:space="preserve">Furthermore, testing the effect of leverage on firm value shows that the coefficient is not significant, indicating that the </w:t>
      </w:r>
      <w:r>
        <w:rPr>
          <w:lang w:val="en-US" w:eastAsia="id-ID"/>
        </w:rPr>
        <w:t>public's use of high or low debt is not the main factor</w:t>
      </w:r>
      <w:r w:rsidRPr="00C74B87">
        <w:rPr>
          <w:lang w:val="en-US" w:eastAsia="id-ID"/>
        </w:rPr>
        <w:t xml:space="preserve"> in assessing the </w:t>
      </w:r>
      <w:r>
        <w:rPr>
          <w:lang w:val="en-US" w:eastAsia="id-ID"/>
        </w:rPr>
        <w:t xml:space="preserve">firm </w:t>
      </w:r>
      <w:r w:rsidRPr="005372D2">
        <w:rPr>
          <w:lang w:val="en-US" w:eastAsia="id-ID"/>
        </w:rPr>
        <w:t>(The second hypothesis (H</w:t>
      </w:r>
      <w:r w:rsidRPr="005372D2">
        <w:rPr>
          <w:vertAlign w:val="subscript"/>
          <w:lang w:val="en-US" w:eastAsia="id-ID"/>
        </w:rPr>
        <w:t>2</w:t>
      </w:r>
      <w:r w:rsidRPr="005372D2">
        <w:rPr>
          <w:lang w:val="en-US" w:eastAsia="id-ID"/>
        </w:rPr>
        <w:t>) is accepted)</w:t>
      </w:r>
      <w:r>
        <w:rPr>
          <w:lang w:val="en-US" w:eastAsia="id-ID"/>
        </w:rPr>
        <w:t>.</w:t>
      </w:r>
    </w:p>
    <w:p w14:paraId="4183982E" w14:textId="77777777" w:rsidR="00B04E3D" w:rsidRDefault="00B04E3D" w:rsidP="00B04E3D">
      <w:pPr>
        <w:spacing w:line="276" w:lineRule="auto"/>
        <w:rPr>
          <w:lang w:val="en-US" w:eastAsia="id-ID"/>
        </w:rPr>
      </w:pPr>
      <w:proofErr w:type="gramStart"/>
      <w:r w:rsidRPr="005141B3">
        <w:rPr>
          <w:lang w:val="en-US" w:eastAsia="id-ID"/>
        </w:rPr>
        <w:t>Interesting results in the investigation of the role of dividend policy on firm value.</w:t>
      </w:r>
      <w:proofErr w:type="gramEnd"/>
      <w:r w:rsidRPr="005141B3">
        <w:rPr>
          <w:lang w:val="en-US" w:eastAsia="id-ID"/>
        </w:rPr>
        <w:t xml:space="preserve"> The coefficient value</w:t>
      </w:r>
      <w:r>
        <w:rPr>
          <w:lang w:val="en-US" w:eastAsia="id-ID"/>
        </w:rPr>
        <w:t>,</w:t>
      </w:r>
      <w:r w:rsidRPr="005141B3">
        <w:rPr>
          <w:lang w:val="en-US" w:eastAsia="id-ID"/>
        </w:rPr>
        <w:t xml:space="preserve"> which is negative at 0.0304 and significant at the level of 0.05</w:t>
      </w:r>
      <w:r>
        <w:rPr>
          <w:lang w:val="en-US" w:eastAsia="id-ID"/>
        </w:rPr>
        <w:t>,</w:t>
      </w:r>
      <w:r w:rsidRPr="005141B3">
        <w:rPr>
          <w:lang w:val="en-US" w:eastAsia="id-ID"/>
        </w:rPr>
        <w:t xml:space="preserve"> indicates that the higher dividend payout actually causes the decline in firm value. </w:t>
      </w:r>
      <w:r w:rsidRPr="004D3571">
        <w:rPr>
          <w:lang w:val="en-US" w:eastAsia="id-ID"/>
        </w:rPr>
        <w:t>Of course</w:t>
      </w:r>
      <w:r>
        <w:rPr>
          <w:lang w:val="en-US" w:eastAsia="id-ID"/>
        </w:rPr>
        <w:t>,</w:t>
      </w:r>
      <w:r w:rsidRPr="004D3571">
        <w:rPr>
          <w:lang w:val="en-US" w:eastAsia="id-ID"/>
        </w:rPr>
        <w:t xml:space="preserve"> this result seems a bit illogical.</w:t>
      </w:r>
      <w:r>
        <w:rPr>
          <w:lang w:val="en-US" w:eastAsia="id-ID"/>
        </w:rPr>
        <w:t xml:space="preserve"> </w:t>
      </w:r>
      <w:r w:rsidRPr="005141B3">
        <w:rPr>
          <w:lang w:val="en-US" w:eastAsia="id-ID"/>
        </w:rPr>
        <w:t xml:space="preserve">This can be caused by the phenomenon of the sample </w:t>
      </w:r>
      <w:r>
        <w:rPr>
          <w:lang w:val="en-US" w:eastAsia="id-ID"/>
        </w:rPr>
        <w:t>firm</w:t>
      </w:r>
      <w:r w:rsidRPr="005141B3">
        <w:rPr>
          <w:lang w:val="en-US" w:eastAsia="id-ID"/>
        </w:rPr>
        <w:t xml:space="preserve">s that pay dividends even though there are losses. </w:t>
      </w:r>
      <w:r>
        <w:rPr>
          <w:lang w:val="en-US" w:eastAsia="id-ID"/>
        </w:rPr>
        <w:t>A retest was carried out to ensure this resul</w:t>
      </w:r>
      <w:r w:rsidRPr="005141B3">
        <w:rPr>
          <w:lang w:val="en-US" w:eastAsia="id-ID"/>
        </w:rPr>
        <w:t xml:space="preserve">t by removing the </w:t>
      </w:r>
      <w:r>
        <w:rPr>
          <w:lang w:val="en-US" w:eastAsia="id-ID"/>
        </w:rPr>
        <w:t>firm</w:t>
      </w:r>
      <w:r w:rsidRPr="005141B3">
        <w:rPr>
          <w:lang w:val="en-US" w:eastAsia="id-ID"/>
        </w:rPr>
        <w:t xml:space="preserve"> that suffered the loss. Surprisingly, the negative effect of dividend payments turned into a positive one</w:t>
      </w:r>
      <w:r>
        <w:rPr>
          <w:lang w:val="en-US" w:eastAsia="id-ID"/>
        </w:rPr>
        <w:t xml:space="preserve"> (accept the second hypothesis)</w:t>
      </w:r>
      <w:r w:rsidRPr="005141B3">
        <w:rPr>
          <w:lang w:val="en-US" w:eastAsia="id-ID"/>
        </w:rPr>
        <w:t xml:space="preserve">. This is indicated by the direction coefficient </w:t>
      </w:r>
      <w:r>
        <w:rPr>
          <w:lang w:val="en-US" w:eastAsia="id-ID"/>
        </w:rPr>
        <w:t xml:space="preserve">of </w:t>
      </w:r>
      <w:r w:rsidRPr="005141B3">
        <w:rPr>
          <w:lang w:val="en-US" w:eastAsia="id-ID"/>
        </w:rPr>
        <w:t>0.2490 and is significant at the 0.1 level.</w:t>
      </w:r>
    </w:p>
    <w:p w14:paraId="7071FF04" w14:textId="77777777" w:rsidR="00B04E3D" w:rsidRDefault="00B04E3D" w:rsidP="00B04E3D">
      <w:pPr>
        <w:spacing w:line="276" w:lineRule="auto"/>
        <w:rPr>
          <w:lang w:val="en-US" w:eastAsia="id-ID"/>
        </w:rPr>
      </w:pPr>
      <w:r w:rsidRPr="00E43E09">
        <w:rPr>
          <w:lang w:val="en-US" w:eastAsia="id-ID"/>
        </w:rPr>
        <w:t xml:space="preserve">To ensure robust test results, retesting was carried out with two considerations. </w:t>
      </w:r>
      <w:r w:rsidRPr="00E43E09">
        <w:rPr>
          <w:i/>
          <w:iCs/>
          <w:lang w:val="en-US" w:eastAsia="id-ID"/>
        </w:rPr>
        <w:t>First</w:t>
      </w:r>
      <w:r w:rsidRPr="00E43E09">
        <w:rPr>
          <w:lang w:val="en-US" w:eastAsia="id-ID"/>
        </w:rPr>
        <w:t xml:space="preserve">, the analysis period in this study covers the period of the health crisis, </w:t>
      </w:r>
      <w:r w:rsidRPr="00E43E09">
        <w:rPr>
          <w:lang w:val="en-US" w:eastAsia="id-ID"/>
        </w:rPr>
        <w:lastRenderedPageBreak/>
        <w:t>namely COVID-19</w:t>
      </w:r>
      <w:r>
        <w:rPr>
          <w:lang w:val="en-US" w:eastAsia="id-ID"/>
        </w:rPr>
        <w:t>,</w:t>
      </w:r>
      <w:r w:rsidRPr="00E43E09">
        <w:rPr>
          <w:lang w:val="en-US" w:eastAsia="id-ID"/>
        </w:rPr>
        <w:t xml:space="preserve"> which may affect financial performance, financial condition, investor irrational factors</w:t>
      </w:r>
      <w:r>
        <w:rPr>
          <w:lang w:val="en-US" w:eastAsia="id-ID"/>
        </w:rPr>
        <w:t>,</w:t>
      </w:r>
      <w:r w:rsidRPr="00E43E09">
        <w:rPr>
          <w:lang w:val="en-US" w:eastAsia="id-ID"/>
        </w:rPr>
        <w:t xml:space="preserve"> and </w:t>
      </w:r>
      <w:r>
        <w:rPr>
          <w:lang w:val="en-US" w:eastAsia="id-ID"/>
        </w:rPr>
        <w:t>firm</w:t>
      </w:r>
      <w:r w:rsidRPr="00E43E09">
        <w:rPr>
          <w:lang w:val="en-US" w:eastAsia="id-ID"/>
        </w:rPr>
        <w:t xml:space="preserve"> valuations. Considering this, we control for this effect using a dummy variable (0 for the period before the COVID-19 period and 1 for the health crisis period). </w:t>
      </w:r>
      <w:r w:rsidRPr="00E43E09">
        <w:rPr>
          <w:i/>
          <w:iCs/>
          <w:lang w:val="en-US" w:eastAsia="id-ID"/>
        </w:rPr>
        <w:t>Second</w:t>
      </w:r>
      <w:r w:rsidRPr="00E43E09">
        <w:rPr>
          <w:lang w:val="en-US" w:eastAsia="id-ID"/>
        </w:rPr>
        <w:t xml:space="preserve">, consider the public reaction in the period before and after dividend payments. This test is needed to ascertain whether </w:t>
      </w:r>
      <w:r>
        <w:rPr>
          <w:lang w:val="en-US" w:eastAsia="id-ID"/>
        </w:rPr>
        <w:t>investors have a significant change in the reaction</w:t>
      </w:r>
      <w:r w:rsidRPr="00E43E09">
        <w:rPr>
          <w:lang w:val="en-US" w:eastAsia="id-ID"/>
        </w:rPr>
        <w:t xml:space="preserve"> between these periods.</w:t>
      </w:r>
      <w:r>
        <w:rPr>
          <w:lang w:val="en-US" w:eastAsia="id-ID"/>
        </w:rPr>
        <w:t xml:space="preserve"> </w:t>
      </w:r>
      <w:r w:rsidRPr="00CF2B88">
        <w:rPr>
          <w:lang w:val="en-US" w:eastAsia="id-ID"/>
        </w:rPr>
        <w:t>The test is carried out based on changes in stock prices from 3 days before (t-3) to three days after the cash dividend payment period (t+3).</w:t>
      </w:r>
    </w:p>
    <w:p w14:paraId="60512247" w14:textId="77777777" w:rsidR="00B04E3D" w:rsidRDefault="00B04E3D" w:rsidP="00B04E3D">
      <w:pPr>
        <w:spacing w:line="276" w:lineRule="auto"/>
        <w:rPr>
          <w:lang w:val="en-US" w:eastAsia="id-ID"/>
        </w:rPr>
      </w:pPr>
      <w:r w:rsidRPr="00CF2B88">
        <w:rPr>
          <w:lang w:val="en-US" w:eastAsia="id-ID"/>
        </w:rPr>
        <w:t xml:space="preserve">Table 3 presents the results of the retest with these two considerations. All the results of testing the effect of the profitability variable on firm value are significant at the 0.01 level, indicating that the </w:t>
      </w:r>
      <w:r>
        <w:rPr>
          <w:lang w:val="en-US" w:eastAsia="id-ID"/>
        </w:rPr>
        <w:t>firm</w:t>
      </w:r>
      <w:r w:rsidRPr="00CF2B88">
        <w:rPr>
          <w:lang w:val="en-US" w:eastAsia="id-ID"/>
        </w:rPr>
        <w:t>'s ability to generate profits is the dominant factor in shaping firm value. Furthermore, the coefficient value of the dividend variable</w:t>
      </w:r>
      <w:r>
        <w:rPr>
          <w:lang w:val="en-US" w:eastAsia="id-ID"/>
        </w:rPr>
        <w:t>, which is entirely negative and significant at the 0.01 level, shows this study's interesting results</w:t>
      </w:r>
      <w:r w:rsidRPr="00CF2B88">
        <w:rPr>
          <w:lang w:val="en-US" w:eastAsia="id-ID"/>
        </w:rPr>
        <w:t>.</w:t>
      </w:r>
    </w:p>
    <w:p w14:paraId="0274E494" w14:textId="77777777" w:rsidR="00B04E3D" w:rsidRPr="00B04E3D" w:rsidRDefault="00B04E3D" w:rsidP="00B04E3D">
      <w:pPr>
        <w:spacing w:after="0" w:line="276" w:lineRule="auto"/>
        <w:ind w:left="0" w:firstLine="0"/>
        <w:rPr>
          <w:color w:val="auto"/>
          <w:szCs w:val="20"/>
          <w:lang w:val="en-US" w:eastAsia="id-ID"/>
        </w:rPr>
      </w:pPr>
      <w:proofErr w:type="gramStart"/>
      <w:r w:rsidRPr="00B04E3D">
        <w:rPr>
          <w:color w:val="auto"/>
          <w:szCs w:val="20"/>
          <w:lang w:val="en-US" w:eastAsia="id-ID"/>
        </w:rPr>
        <w:t>Table 3.</w:t>
      </w:r>
      <w:proofErr w:type="gramEnd"/>
      <w:r w:rsidRPr="00B04E3D">
        <w:rPr>
          <w:color w:val="auto"/>
          <w:szCs w:val="20"/>
          <w:lang w:val="en-US" w:eastAsia="id-ID"/>
        </w:rPr>
        <w:t xml:space="preserve"> </w:t>
      </w:r>
      <w:proofErr w:type="gramStart"/>
      <w:r w:rsidRPr="00B04E3D">
        <w:rPr>
          <w:color w:val="auto"/>
          <w:szCs w:val="20"/>
          <w:lang w:val="en-US" w:eastAsia="id-ID"/>
        </w:rPr>
        <w:t>Crisis effect.</w:t>
      </w:r>
      <w:proofErr w:type="gramEnd"/>
    </w:p>
    <w:tbl>
      <w:tblPr>
        <w:tblW w:w="8496" w:type="dxa"/>
        <w:tblInd w:w="108" w:type="dxa"/>
        <w:tblLook w:val="04A0" w:firstRow="1" w:lastRow="0" w:firstColumn="1" w:lastColumn="0" w:noHBand="0" w:noVBand="1"/>
      </w:tblPr>
      <w:tblGrid>
        <w:gridCol w:w="1440"/>
        <w:gridCol w:w="1008"/>
        <w:gridCol w:w="1008"/>
        <w:gridCol w:w="1008"/>
        <w:gridCol w:w="1008"/>
        <w:gridCol w:w="1008"/>
        <w:gridCol w:w="1008"/>
        <w:gridCol w:w="1008"/>
      </w:tblGrid>
      <w:tr w:rsidR="00B04E3D" w:rsidRPr="00B04E3D" w14:paraId="372C2BEE" w14:textId="77777777" w:rsidTr="00B773FA">
        <w:trPr>
          <w:trHeight w:val="255"/>
        </w:trPr>
        <w:tc>
          <w:tcPr>
            <w:tcW w:w="1440" w:type="dxa"/>
            <w:tcBorders>
              <w:top w:val="single" w:sz="4" w:space="0" w:color="000000"/>
              <w:left w:val="nil"/>
              <w:bottom w:val="nil"/>
              <w:right w:val="nil"/>
            </w:tcBorders>
            <w:shd w:val="clear" w:color="auto" w:fill="auto"/>
            <w:noWrap/>
            <w:vAlign w:val="bottom"/>
          </w:tcPr>
          <w:p w14:paraId="5971B23E" w14:textId="77777777" w:rsidR="00B04E3D" w:rsidRPr="00B04E3D" w:rsidRDefault="00B04E3D" w:rsidP="00B04E3D">
            <w:pPr>
              <w:spacing w:after="0"/>
              <w:ind w:left="0" w:firstLine="0"/>
              <w:jc w:val="left"/>
              <w:rPr>
                <w:color w:val="auto"/>
                <w:sz w:val="20"/>
                <w:szCs w:val="20"/>
                <w:lang w:val="en-US" w:eastAsia="en-US"/>
              </w:rPr>
            </w:pPr>
          </w:p>
        </w:tc>
        <w:tc>
          <w:tcPr>
            <w:tcW w:w="7056" w:type="dxa"/>
            <w:gridSpan w:val="7"/>
            <w:tcBorders>
              <w:top w:val="single" w:sz="4" w:space="0" w:color="000000"/>
              <w:left w:val="nil"/>
              <w:bottom w:val="nil"/>
              <w:right w:val="nil"/>
            </w:tcBorders>
            <w:shd w:val="clear" w:color="auto" w:fill="auto"/>
            <w:noWrap/>
            <w:vAlign w:val="bottom"/>
          </w:tcPr>
          <w:p w14:paraId="79CFE25E"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Firm Value</w:t>
            </w:r>
          </w:p>
        </w:tc>
      </w:tr>
      <w:tr w:rsidR="00B04E3D" w:rsidRPr="00B04E3D" w14:paraId="55ACF439" w14:textId="77777777" w:rsidTr="00B773FA">
        <w:trPr>
          <w:trHeight w:val="255"/>
        </w:trPr>
        <w:tc>
          <w:tcPr>
            <w:tcW w:w="1440" w:type="dxa"/>
            <w:tcBorders>
              <w:left w:val="nil"/>
              <w:bottom w:val="single" w:sz="4" w:space="0" w:color="000000"/>
              <w:right w:val="nil"/>
            </w:tcBorders>
            <w:shd w:val="clear" w:color="auto" w:fill="auto"/>
            <w:noWrap/>
            <w:vAlign w:val="bottom"/>
            <w:hideMark/>
          </w:tcPr>
          <w:p w14:paraId="349E2600"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32248DFD"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t-3</w:t>
            </w:r>
          </w:p>
        </w:tc>
        <w:tc>
          <w:tcPr>
            <w:tcW w:w="1008" w:type="dxa"/>
            <w:tcBorders>
              <w:top w:val="single" w:sz="4" w:space="0" w:color="000000"/>
              <w:left w:val="nil"/>
              <w:bottom w:val="nil"/>
              <w:right w:val="nil"/>
            </w:tcBorders>
            <w:shd w:val="clear" w:color="auto" w:fill="auto"/>
            <w:noWrap/>
            <w:vAlign w:val="bottom"/>
            <w:hideMark/>
          </w:tcPr>
          <w:p w14:paraId="3F680165"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t-2</w:t>
            </w:r>
          </w:p>
        </w:tc>
        <w:tc>
          <w:tcPr>
            <w:tcW w:w="1008" w:type="dxa"/>
            <w:tcBorders>
              <w:top w:val="single" w:sz="4" w:space="0" w:color="000000"/>
              <w:left w:val="nil"/>
              <w:bottom w:val="nil"/>
              <w:right w:val="nil"/>
            </w:tcBorders>
            <w:shd w:val="clear" w:color="auto" w:fill="auto"/>
            <w:noWrap/>
            <w:vAlign w:val="bottom"/>
            <w:hideMark/>
          </w:tcPr>
          <w:p w14:paraId="140A5B68"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t-1</w:t>
            </w:r>
          </w:p>
        </w:tc>
        <w:tc>
          <w:tcPr>
            <w:tcW w:w="1008" w:type="dxa"/>
            <w:tcBorders>
              <w:top w:val="single" w:sz="4" w:space="0" w:color="000000"/>
              <w:left w:val="nil"/>
              <w:bottom w:val="nil"/>
              <w:right w:val="nil"/>
            </w:tcBorders>
            <w:shd w:val="clear" w:color="auto" w:fill="auto"/>
            <w:noWrap/>
            <w:vAlign w:val="bottom"/>
            <w:hideMark/>
          </w:tcPr>
          <w:p w14:paraId="6C6164D8"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w:t>
            </w:r>
          </w:p>
        </w:tc>
        <w:tc>
          <w:tcPr>
            <w:tcW w:w="1008" w:type="dxa"/>
            <w:tcBorders>
              <w:top w:val="single" w:sz="4" w:space="0" w:color="000000"/>
              <w:left w:val="nil"/>
              <w:bottom w:val="nil"/>
              <w:right w:val="nil"/>
            </w:tcBorders>
            <w:shd w:val="clear" w:color="auto" w:fill="auto"/>
            <w:noWrap/>
            <w:vAlign w:val="bottom"/>
            <w:hideMark/>
          </w:tcPr>
          <w:p w14:paraId="6F6697EB"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t+1</w:t>
            </w:r>
          </w:p>
        </w:tc>
        <w:tc>
          <w:tcPr>
            <w:tcW w:w="1008" w:type="dxa"/>
            <w:tcBorders>
              <w:top w:val="single" w:sz="4" w:space="0" w:color="000000"/>
              <w:left w:val="nil"/>
              <w:bottom w:val="nil"/>
              <w:right w:val="nil"/>
            </w:tcBorders>
            <w:shd w:val="clear" w:color="auto" w:fill="auto"/>
            <w:noWrap/>
            <w:vAlign w:val="bottom"/>
            <w:hideMark/>
          </w:tcPr>
          <w:p w14:paraId="4DDF107A"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t+2</w:t>
            </w:r>
          </w:p>
        </w:tc>
        <w:tc>
          <w:tcPr>
            <w:tcW w:w="1008" w:type="dxa"/>
            <w:tcBorders>
              <w:top w:val="single" w:sz="4" w:space="0" w:color="000000"/>
              <w:left w:val="nil"/>
              <w:bottom w:val="nil"/>
              <w:right w:val="nil"/>
            </w:tcBorders>
            <w:shd w:val="clear" w:color="auto" w:fill="auto"/>
            <w:noWrap/>
            <w:vAlign w:val="bottom"/>
            <w:hideMark/>
          </w:tcPr>
          <w:p w14:paraId="0187E6C6"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t+3</w:t>
            </w:r>
          </w:p>
        </w:tc>
      </w:tr>
      <w:tr w:rsidR="00B04E3D" w:rsidRPr="00B04E3D" w14:paraId="357C08F5" w14:textId="77777777" w:rsidTr="00B773FA">
        <w:trPr>
          <w:trHeight w:val="255"/>
        </w:trPr>
        <w:tc>
          <w:tcPr>
            <w:tcW w:w="1440" w:type="dxa"/>
            <w:tcBorders>
              <w:top w:val="single" w:sz="4" w:space="0" w:color="000000"/>
              <w:left w:val="nil"/>
              <w:bottom w:val="nil"/>
              <w:right w:val="nil"/>
            </w:tcBorders>
            <w:shd w:val="clear" w:color="auto" w:fill="auto"/>
            <w:noWrap/>
            <w:vAlign w:val="bottom"/>
            <w:hideMark/>
          </w:tcPr>
          <w:p w14:paraId="672214AF"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21806B0C"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56976D4C"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0A48D075"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2671D5CC"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7823BCE9"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0E1333A1"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shd w:val="clear" w:color="auto" w:fill="auto"/>
            <w:noWrap/>
            <w:vAlign w:val="bottom"/>
            <w:hideMark/>
          </w:tcPr>
          <w:p w14:paraId="11B05A11" w14:textId="77777777" w:rsidR="00B04E3D" w:rsidRPr="00B04E3D" w:rsidRDefault="00B04E3D" w:rsidP="00B04E3D">
            <w:pPr>
              <w:spacing w:after="0"/>
              <w:ind w:left="0" w:firstLine="0"/>
              <w:jc w:val="center"/>
              <w:rPr>
                <w:color w:val="auto"/>
                <w:sz w:val="20"/>
                <w:szCs w:val="20"/>
                <w:lang w:val="en-US" w:eastAsia="en-US"/>
              </w:rPr>
            </w:pPr>
            <w:r w:rsidRPr="00B04E3D">
              <w:rPr>
                <w:color w:val="auto"/>
                <w:sz w:val="20"/>
                <w:szCs w:val="20"/>
                <w:lang w:val="en-US" w:eastAsia="en-US"/>
              </w:rPr>
              <w:t> </w:t>
            </w:r>
          </w:p>
        </w:tc>
      </w:tr>
      <w:tr w:rsidR="00B04E3D" w:rsidRPr="00B04E3D" w14:paraId="4348AF49" w14:textId="77777777" w:rsidTr="00B773FA">
        <w:trPr>
          <w:trHeight w:val="255"/>
        </w:trPr>
        <w:tc>
          <w:tcPr>
            <w:tcW w:w="1440" w:type="dxa"/>
            <w:tcBorders>
              <w:top w:val="nil"/>
              <w:left w:val="nil"/>
              <w:bottom w:val="nil"/>
              <w:right w:val="nil"/>
            </w:tcBorders>
            <w:shd w:val="clear" w:color="auto" w:fill="auto"/>
            <w:noWrap/>
            <w:vAlign w:val="bottom"/>
            <w:hideMark/>
          </w:tcPr>
          <w:p w14:paraId="72705D1E"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Liquidity</w:t>
            </w:r>
          </w:p>
        </w:tc>
        <w:tc>
          <w:tcPr>
            <w:tcW w:w="1008" w:type="dxa"/>
            <w:tcBorders>
              <w:top w:val="nil"/>
              <w:left w:val="nil"/>
              <w:bottom w:val="nil"/>
              <w:right w:val="nil"/>
            </w:tcBorders>
            <w:shd w:val="clear" w:color="auto" w:fill="auto"/>
            <w:noWrap/>
            <w:vAlign w:val="bottom"/>
            <w:hideMark/>
          </w:tcPr>
          <w:p w14:paraId="5BB137F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0.0139</w:t>
            </w:r>
          </w:p>
        </w:tc>
        <w:tc>
          <w:tcPr>
            <w:tcW w:w="1008" w:type="dxa"/>
            <w:tcBorders>
              <w:top w:val="nil"/>
              <w:left w:val="nil"/>
              <w:bottom w:val="nil"/>
              <w:right w:val="nil"/>
            </w:tcBorders>
            <w:shd w:val="clear" w:color="auto" w:fill="auto"/>
            <w:noWrap/>
            <w:vAlign w:val="bottom"/>
            <w:hideMark/>
          </w:tcPr>
          <w:p w14:paraId="38BDDAE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0.0087</w:t>
            </w:r>
          </w:p>
        </w:tc>
        <w:tc>
          <w:tcPr>
            <w:tcW w:w="1008" w:type="dxa"/>
            <w:tcBorders>
              <w:top w:val="nil"/>
              <w:left w:val="nil"/>
              <w:bottom w:val="nil"/>
              <w:right w:val="nil"/>
            </w:tcBorders>
            <w:shd w:val="clear" w:color="auto" w:fill="auto"/>
            <w:noWrap/>
            <w:vAlign w:val="bottom"/>
            <w:hideMark/>
          </w:tcPr>
          <w:p w14:paraId="66846CC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0.0139</w:t>
            </w:r>
          </w:p>
        </w:tc>
        <w:tc>
          <w:tcPr>
            <w:tcW w:w="1008" w:type="dxa"/>
            <w:tcBorders>
              <w:top w:val="nil"/>
              <w:left w:val="nil"/>
              <w:bottom w:val="nil"/>
              <w:right w:val="nil"/>
            </w:tcBorders>
            <w:shd w:val="clear" w:color="auto" w:fill="auto"/>
            <w:noWrap/>
            <w:vAlign w:val="bottom"/>
            <w:hideMark/>
          </w:tcPr>
          <w:p w14:paraId="014E988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0.0139</w:t>
            </w:r>
          </w:p>
        </w:tc>
        <w:tc>
          <w:tcPr>
            <w:tcW w:w="1008" w:type="dxa"/>
            <w:tcBorders>
              <w:top w:val="nil"/>
              <w:left w:val="nil"/>
              <w:bottom w:val="nil"/>
              <w:right w:val="nil"/>
            </w:tcBorders>
            <w:shd w:val="clear" w:color="auto" w:fill="auto"/>
            <w:noWrap/>
            <w:vAlign w:val="bottom"/>
            <w:hideMark/>
          </w:tcPr>
          <w:p w14:paraId="3F3DC19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0.0118</w:t>
            </w:r>
          </w:p>
        </w:tc>
        <w:tc>
          <w:tcPr>
            <w:tcW w:w="1008" w:type="dxa"/>
            <w:tcBorders>
              <w:top w:val="nil"/>
              <w:left w:val="nil"/>
              <w:bottom w:val="nil"/>
              <w:right w:val="nil"/>
            </w:tcBorders>
            <w:shd w:val="clear" w:color="auto" w:fill="auto"/>
            <w:noWrap/>
            <w:vAlign w:val="bottom"/>
            <w:hideMark/>
          </w:tcPr>
          <w:p w14:paraId="3F389C31"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0.0086</w:t>
            </w:r>
          </w:p>
        </w:tc>
        <w:tc>
          <w:tcPr>
            <w:tcW w:w="1008" w:type="dxa"/>
            <w:tcBorders>
              <w:top w:val="nil"/>
              <w:left w:val="nil"/>
              <w:bottom w:val="nil"/>
              <w:right w:val="nil"/>
            </w:tcBorders>
            <w:shd w:val="clear" w:color="auto" w:fill="auto"/>
            <w:noWrap/>
            <w:vAlign w:val="bottom"/>
            <w:hideMark/>
          </w:tcPr>
          <w:p w14:paraId="79CCDD0A"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0.0115</w:t>
            </w:r>
          </w:p>
        </w:tc>
      </w:tr>
      <w:tr w:rsidR="00B04E3D" w:rsidRPr="00B04E3D" w14:paraId="148BE2A7" w14:textId="77777777" w:rsidTr="00B773FA">
        <w:trPr>
          <w:trHeight w:val="255"/>
        </w:trPr>
        <w:tc>
          <w:tcPr>
            <w:tcW w:w="1440" w:type="dxa"/>
            <w:tcBorders>
              <w:top w:val="nil"/>
              <w:left w:val="nil"/>
              <w:bottom w:val="nil"/>
              <w:right w:val="nil"/>
            </w:tcBorders>
            <w:shd w:val="clear" w:color="auto" w:fill="auto"/>
            <w:noWrap/>
            <w:vAlign w:val="bottom"/>
            <w:hideMark/>
          </w:tcPr>
          <w:p w14:paraId="567957AA"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0824EDE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(0.0533)</w:t>
            </w:r>
          </w:p>
        </w:tc>
        <w:tc>
          <w:tcPr>
            <w:tcW w:w="1008" w:type="dxa"/>
            <w:tcBorders>
              <w:top w:val="nil"/>
              <w:left w:val="nil"/>
              <w:bottom w:val="nil"/>
              <w:right w:val="nil"/>
            </w:tcBorders>
            <w:shd w:val="clear" w:color="auto" w:fill="auto"/>
            <w:noWrap/>
            <w:vAlign w:val="bottom"/>
            <w:hideMark/>
          </w:tcPr>
          <w:p w14:paraId="0BC8566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(0.0535)</w:t>
            </w:r>
          </w:p>
        </w:tc>
        <w:tc>
          <w:tcPr>
            <w:tcW w:w="1008" w:type="dxa"/>
            <w:tcBorders>
              <w:top w:val="nil"/>
              <w:left w:val="nil"/>
              <w:bottom w:val="nil"/>
              <w:right w:val="nil"/>
            </w:tcBorders>
            <w:shd w:val="clear" w:color="auto" w:fill="auto"/>
            <w:noWrap/>
            <w:vAlign w:val="bottom"/>
            <w:hideMark/>
          </w:tcPr>
          <w:p w14:paraId="1FA81EF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(0.0533)</w:t>
            </w:r>
          </w:p>
        </w:tc>
        <w:tc>
          <w:tcPr>
            <w:tcW w:w="1008" w:type="dxa"/>
            <w:tcBorders>
              <w:top w:val="nil"/>
              <w:left w:val="nil"/>
              <w:bottom w:val="nil"/>
              <w:right w:val="nil"/>
            </w:tcBorders>
            <w:shd w:val="clear" w:color="auto" w:fill="auto"/>
            <w:noWrap/>
            <w:vAlign w:val="bottom"/>
            <w:hideMark/>
          </w:tcPr>
          <w:p w14:paraId="0FB99AC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(0.0533)</w:t>
            </w:r>
          </w:p>
        </w:tc>
        <w:tc>
          <w:tcPr>
            <w:tcW w:w="1008" w:type="dxa"/>
            <w:tcBorders>
              <w:top w:val="nil"/>
              <w:left w:val="nil"/>
              <w:bottom w:val="nil"/>
              <w:right w:val="nil"/>
            </w:tcBorders>
            <w:shd w:val="clear" w:color="auto" w:fill="auto"/>
            <w:noWrap/>
            <w:vAlign w:val="bottom"/>
            <w:hideMark/>
          </w:tcPr>
          <w:p w14:paraId="5E731649"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(0.0534)</w:t>
            </w:r>
          </w:p>
        </w:tc>
        <w:tc>
          <w:tcPr>
            <w:tcW w:w="1008" w:type="dxa"/>
            <w:tcBorders>
              <w:top w:val="nil"/>
              <w:left w:val="nil"/>
              <w:bottom w:val="nil"/>
              <w:right w:val="nil"/>
            </w:tcBorders>
            <w:shd w:val="clear" w:color="auto" w:fill="auto"/>
            <w:noWrap/>
            <w:vAlign w:val="bottom"/>
            <w:hideMark/>
          </w:tcPr>
          <w:p w14:paraId="002ADA7F"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(0.0541)</w:t>
            </w:r>
          </w:p>
        </w:tc>
        <w:tc>
          <w:tcPr>
            <w:tcW w:w="1008" w:type="dxa"/>
            <w:tcBorders>
              <w:top w:val="nil"/>
              <w:left w:val="nil"/>
              <w:bottom w:val="nil"/>
              <w:right w:val="nil"/>
            </w:tcBorders>
            <w:shd w:val="clear" w:color="auto" w:fill="auto"/>
            <w:noWrap/>
            <w:vAlign w:val="bottom"/>
            <w:hideMark/>
          </w:tcPr>
          <w:p w14:paraId="070CE3C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(0.0538)</w:t>
            </w:r>
          </w:p>
        </w:tc>
      </w:tr>
      <w:tr w:rsidR="00B04E3D" w:rsidRPr="00B04E3D" w14:paraId="25E68D6D" w14:textId="77777777" w:rsidTr="00B773FA">
        <w:trPr>
          <w:trHeight w:val="255"/>
        </w:trPr>
        <w:tc>
          <w:tcPr>
            <w:tcW w:w="1440" w:type="dxa"/>
            <w:tcBorders>
              <w:top w:val="nil"/>
              <w:left w:val="nil"/>
              <w:bottom w:val="nil"/>
              <w:right w:val="nil"/>
            </w:tcBorders>
            <w:shd w:val="clear" w:color="auto" w:fill="auto"/>
            <w:noWrap/>
            <w:vAlign w:val="bottom"/>
            <w:hideMark/>
          </w:tcPr>
          <w:p w14:paraId="5582E4D8"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Leverage</w:t>
            </w:r>
          </w:p>
        </w:tc>
        <w:tc>
          <w:tcPr>
            <w:tcW w:w="1008" w:type="dxa"/>
            <w:tcBorders>
              <w:top w:val="nil"/>
              <w:left w:val="nil"/>
              <w:bottom w:val="nil"/>
              <w:right w:val="nil"/>
            </w:tcBorders>
            <w:shd w:val="clear" w:color="auto" w:fill="auto"/>
            <w:noWrap/>
            <w:vAlign w:val="bottom"/>
            <w:hideMark/>
          </w:tcPr>
          <w:p w14:paraId="1992084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-0.0722</w:t>
            </w:r>
          </w:p>
        </w:tc>
        <w:tc>
          <w:tcPr>
            <w:tcW w:w="1008" w:type="dxa"/>
            <w:tcBorders>
              <w:top w:val="nil"/>
              <w:left w:val="nil"/>
              <w:bottom w:val="nil"/>
              <w:right w:val="nil"/>
            </w:tcBorders>
            <w:shd w:val="clear" w:color="auto" w:fill="auto"/>
            <w:noWrap/>
            <w:vAlign w:val="bottom"/>
            <w:hideMark/>
          </w:tcPr>
          <w:p w14:paraId="12553B41"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-0.0795</w:t>
            </w:r>
          </w:p>
        </w:tc>
        <w:tc>
          <w:tcPr>
            <w:tcW w:w="1008" w:type="dxa"/>
            <w:tcBorders>
              <w:top w:val="nil"/>
              <w:left w:val="nil"/>
              <w:bottom w:val="nil"/>
              <w:right w:val="nil"/>
            </w:tcBorders>
            <w:shd w:val="clear" w:color="auto" w:fill="auto"/>
            <w:noWrap/>
            <w:vAlign w:val="bottom"/>
            <w:hideMark/>
          </w:tcPr>
          <w:p w14:paraId="6ACEF8D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-0.0722</w:t>
            </w:r>
          </w:p>
        </w:tc>
        <w:tc>
          <w:tcPr>
            <w:tcW w:w="1008" w:type="dxa"/>
            <w:tcBorders>
              <w:top w:val="nil"/>
              <w:left w:val="nil"/>
              <w:bottom w:val="nil"/>
              <w:right w:val="nil"/>
            </w:tcBorders>
            <w:shd w:val="clear" w:color="auto" w:fill="auto"/>
            <w:noWrap/>
            <w:vAlign w:val="bottom"/>
            <w:hideMark/>
          </w:tcPr>
          <w:p w14:paraId="212C395A"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-0.0722</w:t>
            </w:r>
          </w:p>
        </w:tc>
        <w:tc>
          <w:tcPr>
            <w:tcW w:w="1008" w:type="dxa"/>
            <w:tcBorders>
              <w:top w:val="nil"/>
              <w:left w:val="nil"/>
              <w:bottom w:val="nil"/>
              <w:right w:val="nil"/>
            </w:tcBorders>
            <w:shd w:val="clear" w:color="auto" w:fill="auto"/>
            <w:noWrap/>
            <w:vAlign w:val="bottom"/>
            <w:hideMark/>
          </w:tcPr>
          <w:p w14:paraId="38A0F9DA"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-0.0757</w:t>
            </w:r>
          </w:p>
        </w:tc>
        <w:tc>
          <w:tcPr>
            <w:tcW w:w="1008" w:type="dxa"/>
            <w:tcBorders>
              <w:top w:val="nil"/>
              <w:left w:val="nil"/>
              <w:bottom w:val="nil"/>
              <w:right w:val="nil"/>
            </w:tcBorders>
            <w:shd w:val="clear" w:color="auto" w:fill="auto"/>
            <w:noWrap/>
            <w:vAlign w:val="bottom"/>
            <w:hideMark/>
          </w:tcPr>
          <w:p w14:paraId="129DF6F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-0.0807</w:t>
            </w:r>
          </w:p>
        </w:tc>
        <w:tc>
          <w:tcPr>
            <w:tcW w:w="1008" w:type="dxa"/>
            <w:tcBorders>
              <w:top w:val="nil"/>
              <w:left w:val="nil"/>
              <w:bottom w:val="nil"/>
              <w:right w:val="nil"/>
            </w:tcBorders>
            <w:shd w:val="clear" w:color="auto" w:fill="auto"/>
            <w:noWrap/>
            <w:vAlign w:val="bottom"/>
            <w:hideMark/>
          </w:tcPr>
          <w:p w14:paraId="5118223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-0.0735</w:t>
            </w:r>
          </w:p>
        </w:tc>
      </w:tr>
      <w:tr w:rsidR="00B04E3D" w:rsidRPr="00B04E3D" w14:paraId="636FCE4A" w14:textId="77777777" w:rsidTr="00B773FA">
        <w:trPr>
          <w:trHeight w:val="255"/>
        </w:trPr>
        <w:tc>
          <w:tcPr>
            <w:tcW w:w="1440" w:type="dxa"/>
            <w:tcBorders>
              <w:top w:val="nil"/>
              <w:left w:val="nil"/>
              <w:bottom w:val="nil"/>
              <w:right w:val="nil"/>
            </w:tcBorders>
            <w:shd w:val="clear" w:color="auto" w:fill="auto"/>
            <w:noWrap/>
            <w:vAlign w:val="bottom"/>
            <w:hideMark/>
          </w:tcPr>
          <w:p w14:paraId="18CC4D77"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70C490EA"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(0.0964)</w:t>
            </w:r>
          </w:p>
        </w:tc>
        <w:tc>
          <w:tcPr>
            <w:tcW w:w="1008" w:type="dxa"/>
            <w:tcBorders>
              <w:top w:val="nil"/>
              <w:left w:val="nil"/>
              <w:bottom w:val="nil"/>
              <w:right w:val="nil"/>
            </w:tcBorders>
            <w:shd w:val="clear" w:color="auto" w:fill="auto"/>
            <w:noWrap/>
            <w:vAlign w:val="bottom"/>
            <w:hideMark/>
          </w:tcPr>
          <w:p w14:paraId="3FF8542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(0.0962)</w:t>
            </w:r>
          </w:p>
        </w:tc>
        <w:tc>
          <w:tcPr>
            <w:tcW w:w="1008" w:type="dxa"/>
            <w:tcBorders>
              <w:top w:val="nil"/>
              <w:left w:val="nil"/>
              <w:bottom w:val="nil"/>
              <w:right w:val="nil"/>
            </w:tcBorders>
            <w:shd w:val="clear" w:color="auto" w:fill="auto"/>
            <w:noWrap/>
            <w:vAlign w:val="bottom"/>
            <w:hideMark/>
          </w:tcPr>
          <w:p w14:paraId="34C1FCD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(0.0964)</w:t>
            </w:r>
          </w:p>
        </w:tc>
        <w:tc>
          <w:tcPr>
            <w:tcW w:w="1008" w:type="dxa"/>
            <w:tcBorders>
              <w:top w:val="nil"/>
              <w:left w:val="nil"/>
              <w:bottom w:val="nil"/>
              <w:right w:val="nil"/>
            </w:tcBorders>
            <w:shd w:val="clear" w:color="auto" w:fill="auto"/>
            <w:noWrap/>
            <w:vAlign w:val="bottom"/>
            <w:hideMark/>
          </w:tcPr>
          <w:p w14:paraId="110EA52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(0.0964)</w:t>
            </w:r>
          </w:p>
        </w:tc>
        <w:tc>
          <w:tcPr>
            <w:tcW w:w="1008" w:type="dxa"/>
            <w:tcBorders>
              <w:top w:val="nil"/>
              <w:left w:val="nil"/>
              <w:bottom w:val="nil"/>
              <w:right w:val="nil"/>
            </w:tcBorders>
            <w:shd w:val="clear" w:color="auto" w:fill="auto"/>
            <w:noWrap/>
            <w:vAlign w:val="bottom"/>
            <w:hideMark/>
          </w:tcPr>
          <w:p w14:paraId="79E3384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(0.0968)</w:t>
            </w:r>
          </w:p>
        </w:tc>
        <w:tc>
          <w:tcPr>
            <w:tcW w:w="1008" w:type="dxa"/>
            <w:tcBorders>
              <w:top w:val="nil"/>
              <w:left w:val="nil"/>
              <w:bottom w:val="nil"/>
              <w:right w:val="nil"/>
            </w:tcBorders>
            <w:shd w:val="clear" w:color="auto" w:fill="auto"/>
            <w:noWrap/>
            <w:vAlign w:val="bottom"/>
            <w:hideMark/>
          </w:tcPr>
          <w:p w14:paraId="1CF253C9"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(0.0954)</w:t>
            </w:r>
          </w:p>
        </w:tc>
        <w:tc>
          <w:tcPr>
            <w:tcW w:w="1008" w:type="dxa"/>
            <w:tcBorders>
              <w:top w:val="nil"/>
              <w:left w:val="nil"/>
              <w:bottom w:val="nil"/>
              <w:right w:val="nil"/>
            </w:tcBorders>
            <w:shd w:val="clear" w:color="auto" w:fill="auto"/>
            <w:noWrap/>
            <w:vAlign w:val="bottom"/>
            <w:hideMark/>
          </w:tcPr>
          <w:p w14:paraId="1784F9C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(0.0949)</w:t>
            </w:r>
          </w:p>
        </w:tc>
      </w:tr>
      <w:tr w:rsidR="00B04E3D" w:rsidRPr="00B04E3D" w14:paraId="4436911A" w14:textId="77777777" w:rsidTr="00B773FA">
        <w:trPr>
          <w:trHeight w:val="255"/>
        </w:trPr>
        <w:tc>
          <w:tcPr>
            <w:tcW w:w="1440" w:type="dxa"/>
            <w:tcBorders>
              <w:top w:val="nil"/>
              <w:left w:val="nil"/>
              <w:bottom w:val="nil"/>
              <w:right w:val="nil"/>
            </w:tcBorders>
            <w:shd w:val="clear" w:color="auto" w:fill="auto"/>
            <w:noWrap/>
            <w:vAlign w:val="bottom"/>
            <w:hideMark/>
          </w:tcPr>
          <w:p w14:paraId="5349DC27"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Profitability</w:t>
            </w:r>
          </w:p>
        </w:tc>
        <w:tc>
          <w:tcPr>
            <w:tcW w:w="1008" w:type="dxa"/>
            <w:tcBorders>
              <w:top w:val="nil"/>
              <w:left w:val="nil"/>
              <w:bottom w:val="nil"/>
              <w:right w:val="nil"/>
            </w:tcBorders>
            <w:shd w:val="clear" w:color="auto" w:fill="auto"/>
            <w:noWrap/>
            <w:vAlign w:val="bottom"/>
            <w:hideMark/>
          </w:tcPr>
          <w:p w14:paraId="538F93E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8.1374***</w:t>
            </w:r>
          </w:p>
        </w:tc>
        <w:tc>
          <w:tcPr>
            <w:tcW w:w="1008" w:type="dxa"/>
            <w:tcBorders>
              <w:top w:val="nil"/>
              <w:left w:val="nil"/>
              <w:bottom w:val="nil"/>
              <w:right w:val="nil"/>
            </w:tcBorders>
            <w:shd w:val="clear" w:color="auto" w:fill="auto"/>
            <w:noWrap/>
            <w:vAlign w:val="bottom"/>
            <w:hideMark/>
          </w:tcPr>
          <w:p w14:paraId="462975D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8.4221***</w:t>
            </w:r>
          </w:p>
        </w:tc>
        <w:tc>
          <w:tcPr>
            <w:tcW w:w="1008" w:type="dxa"/>
            <w:tcBorders>
              <w:top w:val="nil"/>
              <w:left w:val="nil"/>
              <w:bottom w:val="nil"/>
              <w:right w:val="nil"/>
            </w:tcBorders>
            <w:shd w:val="clear" w:color="auto" w:fill="auto"/>
            <w:noWrap/>
            <w:vAlign w:val="bottom"/>
            <w:hideMark/>
          </w:tcPr>
          <w:p w14:paraId="3F9B3F3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8.1374***</w:t>
            </w:r>
          </w:p>
        </w:tc>
        <w:tc>
          <w:tcPr>
            <w:tcW w:w="1008" w:type="dxa"/>
            <w:tcBorders>
              <w:top w:val="nil"/>
              <w:left w:val="nil"/>
              <w:bottom w:val="nil"/>
              <w:right w:val="nil"/>
            </w:tcBorders>
            <w:shd w:val="clear" w:color="auto" w:fill="auto"/>
            <w:noWrap/>
            <w:vAlign w:val="bottom"/>
            <w:hideMark/>
          </w:tcPr>
          <w:p w14:paraId="41D4964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8.1374***</w:t>
            </w:r>
          </w:p>
        </w:tc>
        <w:tc>
          <w:tcPr>
            <w:tcW w:w="1008" w:type="dxa"/>
            <w:tcBorders>
              <w:top w:val="nil"/>
              <w:left w:val="nil"/>
              <w:bottom w:val="nil"/>
              <w:right w:val="nil"/>
            </w:tcBorders>
            <w:shd w:val="clear" w:color="auto" w:fill="auto"/>
            <w:noWrap/>
            <w:vAlign w:val="bottom"/>
            <w:hideMark/>
          </w:tcPr>
          <w:p w14:paraId="1395898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8.1643***</w:t>
            </w:r>
          </w:p>
        </w:tc>
        <w:tc>
          <w:tcPr>
            <w:tcW w:w="1008" w:type="dxa"/>
            <w:tcBorders>
              <w:top w:val="nil"/>
              <w:left w:val="nil"/>
              <w:bottom w:val="nil"/>
              <w:right w:val="nil"/>
            </w:tcBorders>
            <w:shd w:val="clear" w:color="auto" w:fill="auto"/>
            <w:noWrap/>
            <w:vAlign w:val="bottom"/>
            <w:hideMark/>
          </w:tcPr>
          <w:p w14:paraId="6AC96C7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8.2624***</w:t>
            </w:r>
          </w:p>
        </w:tc>
        <w:tc>
          <w:tcPr>
            <w:tcW w:w="1008" w:type="dxa"/>
            <w:tcBorders>
              <w:top w:val="nil"/>
              <w:left w:val="nil"/>
              <w:bottom w:val="nil"/>
              <w:right w:val="nil"/>
            </w:tcBorders>
            <w:shd w:val="clear" w:color="auto" w:fill="auto"/>
            <w:noWrap/>
            <w:vAlign w:val="bottom"/>
            <w:hideMark/>
          </w:tcPr>
          <w:p w14:paraId="4C53C19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8.1785***</w:t>
            </w:r>
          </w:p>
        </w:tc>
      </w:tr>
      <w:tr w:rsidR="00B04E3D" w:rsidRPr="00B04E3D" w14:paraId="31341994" w14:textId="77777777" w:rsidTr="00B773FA">
        <w:trPr>
          <w:trHeight w:val="255"/>
        </w:trPr>
        <w:tc>
          <w:tcPr>
            <w:tcW w:w="1440" w:type="dxa"/>
            <w:tcBorders>
              <w:top w:val="nil"/>
              <w:left w:val="nil"/>
              <w:bottom w:val="nil"/>
              <w:right w:val="nil"/>
            </w:tcBorders>
            <w:shd w:val="clear" w:color="auto" w:fill="auto"/>
            <w:noWrap/>
            <w:vAlign w:val="bottom"/>
            <w:hideMark/>
          </w:tcPr>
          <w:p w14:paraId="7C6964B7"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7249AB4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(1.6251)</w:t>
            </w:r>
          </w:p>
        </w:tc>
        <w:tc>
          <w:tcPr>
            <w:tcW w:w="1008" w:type="dxa"/>
            <w:tcBorders>
              <w:top w:val="nil"/>
              <w:left w:val="nil"/>
              <w:bottom w:val="nil"/>
              <w:right w:val="nil"/>
            </w:tcBorders>
            <w:shd w:val="clear" w:color="auto" w:fill="auto"/>
            <w:noWrap/>
            <w:vAlign w:val="bottom"/>
            <w:hideMark/>
          </w:tcPr>
          <w:p w14:paraId="0F3BB05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(1.6306)</w:t>
            </w:r>
          </w:p>
        </w:tc>
        <w:tc>
          <w:tcPr>
            <w:tcW w:w="1008" w:type="dxa"/>
            <w:tcBorders>
              <w:top w:val="nil"/>
              <w:left w:val="nil"/>
              <w:bottom w:val="nil"/>
              <w:right w:val="nil"/>
            </w:tcBorders>
            <w:shd w:val="clear" w:color="auto" w:fill="auto"/>
            <w:noWrap/>
            <w:vAlign w:val="bottom"/>
            <w:hideMark/>
          </w:tcPr>
          <w:p w14:paraId="7FE79C7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(1.6251)</w:t>
            </w:r>
          </w:p>
        </w:tc>
        <w:tc>
          <w:tcPr>
            <w:tcW w:w="1008" w:type="dxa"/>
            <w:tcBorders>
              <w:top w:val="nil"/>
              <w:left w:val="nil"/>
              <w:bottom w:val="nil"/>
              <w:right w:val="nil"/>
            </w:tcBorders>
            <w:shd w:val="clear" w:color="auto" w:fill="auto"/>
            <w:noWrap/>
            <w:vAlign w:val="bottom"/>
            <w:hideMark/>
          </w:tcPr>
          <w:p w14:paraId="736B66C9"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(1.6251)</w:t>
            </w:r>
          </w:p>
        </w:tc>
        <w:tc>
          <w:tcPr>
            <w:tcW w:w="1008" w:type="dxa"/>
            <w:tcBorders>
              <w:top w:val="nil"/>
              <w:left w:val="nil"/>
              <w:bottom w:val="nil"/>
              <w:right w:val="nil"/>
            </w:tcBorders>
            <w:shd w:val="clear" w:color="auto" w:fill="auto"/>
            <w:noWrap/>
            <w:vAlign w:val="bottom"/>
            <w:hideMark/>
          </w:tcPr>
          <w:p w14:paraId="7A53252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(1.6179)</w:t>
            </w:r>
          </w:p>
        </w:tc>
        <w:tc>
          <w:tcPr>
            <w:tcW w:w="1008" w:type="dxa"/>
            <w:tcBorders>
              <w:top w:val="nil"/>
              <w:left w:val="nil"/>
              <w:bottom w:val="nil"/>
              <w:right w:val="nil"/>
            </w:tcBorders>
            <w:shd w:val="clear" w:color="auto" w:fill="auto"/>
            <w:noWrap/>
            <w:vAlign w:val="bottom"/>
            <w:hideMark/>
          </w:tcPr>
          <w:p w14:paraId="62C4436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(1.6245)</w:t>
            </w:r>
          </w:p>
        </w:tc>
        <w:tc>
          <w:tcPr>
            <w:tcW w:w="1008" w:type="dxa"/>
            <w:tcBorders>
              <w:top w:val="nil"/>
              <w:left w:val="nil"/>
              <w:bottom w:val="nil"/>
              <w:right w:val="nil"/>
            </w:tcBorders>
            <w:shd w:val="clear" w:color="auto" w:fill="auto"/>
            <w:noWrap/>
            <w:vAlign w:val="bottom"/>
            <w:hideMark/>
          </w:tcPr>
          <w:p w14:paraId="1E5B576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(1.6106)</w:t>
            </w:r>
          </w:p>
        </w:tc>
      </w:tr>
      <w:tr w:rsidR="00B04E3D" w:rsidRPr="00B04E3D" w14:paraId="769515A7" w14:textId="77777777" w:rsidTr="00B773FA">
        <w:trPr>
          <w:trHeight w:val="255"/>
        </w:trPr>
        <w:tc>
          <w:tcPr>
            <w:tcW w:w="1440" w:type="dxa"/>
            <w:tcBorders>
              <w:top w:val="nil"/>
              <w:left w:val="nil"/>
              <w:bottom w:val="nil"/>
              <w:right w:val="nil"/>
            </w:tcBorders>
            <w:shd w:val="clear" w:color="auto" w:fill="auto"/>
            <w:noWrap/>
            <w:vAlign w:val="bottom"/>
            <w:hideMark/>
          </w:tcPr>
          <w:p w14:paraId="36C6077A"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Dividend</w:t>
            </w:r>
          </w:p>
        </w:tc>
        <w:tc>
          <w:tcPr>
            <w:tcW w:w="1008" w:type="dxa"/>
            <w:tcBorders>
              <w:top w:val="nil"/>
              <w:left w:val="nil"/>
              <w:bottom w:val="nil"/>
              <w:right w:val="nil"/>
            </w:tcBorders>
            <w:shd w:val="clear" w:color="auto" w:fill="auto"/>
            <w:noWrap/>
            <w:vAlign w:val="bottom"/>
            <w:hideMark/>
          </w:tcPr>
          <w:p w14:paraId="66199C7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-0.0343***</w:t>
            </w:r>
          </w:p>
        </w:tc>
        <w:tc>
          <w:tcPr>
            <w:tcW w:w="1008" w:type="dxa"/>
            <w:tcBorders>
              <w:top w:val="nil"/>
              <w:left w:val="nil"/>
              <w:bottom w:val="nil"/>
              <w:right w:val="nil"/>
            </w:tcBorders>
            <w:shd w:val="clear" w:color="auto" w:fill="auto"/>
            <w:noWrap/>
            <w:vAlign w:val="bottom"/>
            <w:hideMark/>
          </w:tcPr>
          <w:p w14:paraId="7F93CC6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-0.0362***</w:t>
            </w:r>
          </w:p>
        </w:tc>
        <w:tc>
          <w:tcPr>
            <w:tcW w:w="1008" w:type="dxa"/>
            <w:tcBorders>
              <w:top w:val="nil"/>
              <w:left w:val="nil"/>
              <w:bottom w:val="nil"/>
              <w:right w:val="nil"/>
            </w:tcBorders>
            <w:shd w:val="clear" w:color="auto" w:fill="auto"/>
            <w:noWrap/>
            <w:vAlign w:val="bottom"/>
            <w:hideMark/>
          </w:tcPr>
          <w:p w14:paraId="6415897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-0.0343***</w:t>
            </w:r>
          </w:p>
        </w:tc>
        <w:tc>
          <w:tcPr>
            <w:tcW w:w="1008" w:type="dxa"/>
            <w:tcBorders>
              <w:top w:val="nil"/>
              <w:left w:val="nil"/>
              <w:bottom w:val="nil"/>
              <w:right w:val="nil"/>
            </w:tcBorders>
            <w:shd w:val="clear" w:color="auto" w:fill="auto"/>
            <w:noWrap/>
            <w:vAlign w:val="bottom"/>
            <w:hideMark/>
          </w:tcPr>
          <w:p w14:paraId="2946C85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-0.0343***</w:t>
            </w:r>
          </w:p>
        </w:tc>
        <w:tc>
          <w:tcPr>
            <w:tcW w:w="1008" w:type="dxa"/>
            <w:tcBorders>
              <w:top w:val="nil"/>
              <w:left w:val="nil"/>
              <w:bottom w:val="nil"/>
              <w:right w:val="nil"/>
            </w:tcBorders>
            <w:shd w:val="clear" w:color="auto" w:fill="auto"/>
            <w:noWrap/>
            <w:vAlign w:val="bottom"/>
            <w:hideMark/>
          </w:tcPr>
          <w:p w14:paraId="1B8050A1"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-0.0344***</w:t>
            </w:r>
          </w:p>
        </w:tc>
        <w:tc>
          <w:tcPr>
            <w:tcW w:w="1008" w:type="dxa"/>
            <w:tcBorders>
              <w:top w:val="nil"/>
              <w:left w:val="nil"/>
              <w:bottom w:val="nil"/>
              <w:right w:val="nil"/>
            </w:tcBorders>
            <w:shd w:val="clear" w:color="auto" w:fill="auto"/>
            <w:noWrap/>
            <w:vAlign w:val="bottom"/>
            <w:hideMark/>
          </w:tcPr>
          <w:p w14:paraId="24A1EB9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-0.0323***</w:t>
            </w:r>
          </w:p>
        </w:tc>
        <w:tc>
          <w:tcPr>
            <w:tcW w:w="1008" w:type="dxa"/>
            <w:tcBorders>
              <w:top w:val="nil"/>
              <w:left w:val="nil"/>
              <w:bottom w:val="nil"/>
              <w:right w:val="nil"/>
            </w:tcBorders>
            <w:shd w:val="clear" w:color="auto" w:fill="auto"/>
            <w:noWrap/>
            <w:vAlign w:val="bottom"/>
            <w:hideMark/>
          </w:tcPr>
          <w:p w14:paraId="72D87F3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-0.0348***</w:t>
            </w:r>
          </w:p>
        </w:tc>
      </w:tr>
      <w:tr w:rsidR="00B04E3D" w:rsidRPr="00B04E3D" w14:paraId="10CBA9F3" w14:textId="77777777" w:rsidTr="00B773FA">
        <w:trPr>
          <w:trHeight w:val="255"/>
        </w:trPr>
        <w:tc>
          <w:tcPr>
            <w:tcW w:w="1440" w:type="dxa"/>
            <w:tcBorders>
              <w:top w:val="nil"/>
              <w:left w:val="nil"/>
              <w:bottom w:val="nil"/>
              <w:right w:val="nil"/>
            </w:tcBorders>
            <w:shd w:val="clear" w:color="auto" w:fill="auto"/>
            <w:noWrap/>
            <w:vAlign w:val="bottom"/>
            <w:hideMark/>
          </w:tcPr>
          <w:p w14:paraId="506C9C2E"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71B07BE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(0.0117)</w:t>
            </w:r>
          </w:p>
        </w:tc>
        <w:tc>
          <w:tcPr>
            <w:tcW w:w="1008" w:type="dxa"/>
            <w:tcBorders>
              <w:top w:val="nil"/>
              <w:left w:val="nil"/>
              <w:bottom w:val="nil"/>
              <w:right w:val="nil"/>
            </w:tcBorders>
            <w:shd w:val="clear" w:color="auto" w:fill="auto"/>
            <w:noWrap/>
            <w:vAlign w:val="bottom"/>
            <w:hideMark/>
          </w:tcPr>
          <w:p w14:paraId="1A8F56E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(0.0120)</w:t>
            </w:r>
          </w:p>
        </w:tc>
        <w:tc>
          <w:tcPr>
            <w:tcW w:w="1008" w:type="dxa"/>
            <w:tcBorders>
              <w:top w:val="nil"/>
              <w:left w:val="nil"/>
              <w:bottom w:val="nil"/>
              <w:right w:val="nil"/>
            </w:tcBorders>
            <w:shd w:val="clear" w:color="auto" w:fill="auto"/>
            <w:noWrap/>
            <w:vAlign w:val="bottom"/>
            <w:hideMark/>
          </w:tcPr>
          <w:p w14:paraId="0805455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(0.0117)</w:t>
            </w:r>
          </w:p>
        </w:tc>
        <w:tc>
          <w:tcPr>
            <w:tcW w:w="1008" w:type="dxa"/>
            <w:tcBorders>
              <w:top w:val="nil"/>
              <w:left w:val="nil"/>
              <w:bottom w:val="nil"/>
              <w:right w:val="nil"/>
            </w:tcBorders>
            <w:shd w:val="clear" w:color="auto" w:fill="auto"/>
            <w:noWrap/>
            <w:vAlign w:val="bottom"/>
            <w:hideMark/>
          </w:tcPr>
          <w:p w14:paraId="4D42E72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(0.0117)</w:t>
            </w:r>
          </w:p>
        </w:tc>
        <w:tc>
          <w:tcPr>
            <w:tcW w:w="1008" w:type="dxa"/>
            <w:tcBorders>
              <w:top w:val="nil"/>
              <w:left w:val="nil"/>
              <w:bottom w:val="nil"/>
              <w:right w:val="nil"/>
            </w:tcBorders>
            <w:shd w:val="clear" w:color="auto" w:fill="auto"/>
            <w:noWrap/>
            <w:vAlign w:val="bottom"/>
            <w:hideMark/>
          </w:tcPr>
          <w:p w14:paraId="1AAA083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(0.0115)</w:t>
            </w:r>
          </w:p>
        </w:tc>
        <w:tc>
          <w:tcPr>
            <w:tcW w:w="1008" w:type="dxa"/>
            <w:tcBorders>
              <w:top w:val="nil"/>
              <w:left w:val="nil"/>
              <w:bottom w:val="nil"/>
              <w:right w:val="nil"/>
            </w:tcBorders>
            <w:shd w:val="clear" w:color="auto" w:fill="auto"/>
            <w:noWrap/>
            <w:vAlign w:val="bottom"/>
            <w:hideMark/>
          </w:tcPr>
          <w:p w14:paraId="0809683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(0.0115)</w:t>
            </w:r>
          </w:p>
        </w:tc>
        <w:tc>
          <w:tcPr>
            <w:tcW w:w="1008" w:type="dxa"/>
            <w:tcBorders>
              <w:top w:val="nil"/>
              <w:left w:val="nil"/>
              <w:bottom w:val="nil"/>
              <w:right w:val="nil"/>
            </w:tcBorders>
            <w:shd w:val="clear" w:color="auto" w:fill="auto"/>
            <w:noWrap/>
            <w:vAlign w:val="bottom"/>
            <w:hideMark/>
          </w:tcPr>
          <w:p w14:paraId="6BF0D29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(0.0112)</w:t>
            </w:r>
          </w:p>
        </w:tc>
      </w:tr>
      <w:tr w:rsidR="00B04E3D" w:rsidRPr="00B04E3D" w14:paraId="1EEC35C6" w14:textId="77777777" w:rsidTr="00B773FA">
        <w:trPr>
          <w:trHeight w:val="255"/>
        </w:trPr>
        <w:tc>
          <w:tcPr>
            <w:tcW w:w="1440" w:type="dxa"/>
            <w:tcBorders>
              <w:top w:val="nil"/>
              <w:left w:val="nil"/>
              <w:bottom w:val="nil"/>
              <w:right w:val="nil"/>
            </w:tcBorders>
            <w:shd w:val="clear" w:color="auto" w:fill="auto"/>
            <w:noWrap/>
            <w:vAlign w:val="bottom"/>
            <w:hideMark/>
          </w:tcPr>
          <w:p w14:paraId="704380A7"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Constant</w:t>
            </w:r>
          </w:p>
        </w:tc>
        <w:tc>
          <w:tcPr>
            <w:tcW w:w="1008" w:type="dxa"/>
            <w:tcBorders>
              <w:top w:val="nil"/>
              <w:left w:val="nil"/>
              <w:bottom w:val="nil"/>
              <w:right w:val="nil"/>
            </w:tcBorders>
            <w:shd w:val="clear" w:color="auto" w:fill="auto"/>
            <w:noWrap/>
            <w:vAlign w:val="bottom"/>
            <w:hideMark/>
          </w:tcPr>
          <w:p w14:paraId="68AB7B6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1.2099***</w:t>
            </w:r>
          </w:p>
        </w:tc>
        <w:tc>
          <w:tcPr>
            <w:tcW w:w="1008" w:type="dxa"/>
            <w:tcBorders>
              <w:top w:val="nil"/>
              <w:left w:val="nil"/>
              <w:bottom w:val="nil"/>
              <w:right w:val="nil"/>
            </w:tcBorders>
            <w:shd w:val="clear" w:color="auto" w:fill="auto"/>
            <w:noWrap/>
            <w:vAlign w:val="bottom"/>
            <w:hideMark/>
          </w:tcPr>
          <w:p w14:paraId="15AA1EA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1.2112***</w:t>
            </w:r>
          </w:p>
        </w:tc>
        <w:tc>
          <w:tcPr>
            <w:tcW w:w="1008" w:type="dxa"/>
            <w:tcBorders>
              <w:top w:val="nil"/>
              <w:left w:val="nil"/>
              <w:bottom w:val="nil"/>
              <w:right w:val="nil"/>
            </w:tcBorders>
            <w:shd w:val="clear" w:color="auto" w:fill="auto"/>
            <w:noWrap/>
            <w:vAlign w:val="bottom"/>
            <w:hideMark/>
          </w:tcPr>
          <w:p w14:paraId="3A658B6F"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1.2099***</w:t>
            </w:r>
          </w:p>
        </w:tc>
        <w:tc>
          <w:tcPr>
            <w:tcW w:w="1008" w:type="dxa"/>
            <w:tcBorders>
              <w:top w:val="nil"/>
              <w:left w:val="nil"/>
              <w:bottom w:val="nil"/>
              <w:right w:val="nil"/>
            </w:tcBorders>
            <w:shd w:val="clear" w:color="auto" w:fill="auto"/>
            <w:noWrap/>
            <w:vAlign w:val="bottom"/>
            <w:hideMark/>
          </w:tcPr>
          <w:p w14:paraId="64A2FAB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1.2099***</w:t>
            </w:r>
          </w:p>
        </w:tc>
        <w:tc>
          <w:tcPr>
            <w:tcW w:w="1008" w:type="dxa"/>
            <w:tcBorders>
              <w:top w:val="nil"/>
              <w:left w:val="nil"/>
              <w:bottom w:val="nil"/>
              <w:right w:val="nil"/>
            </w:tcBorders>
            <w:shd w:val="clear" w:color="auto" w:fill="auto"/>
            <w:noWrap/>
            <w:vAlign w:val="bottom"/>
            <w:hideMark/>
          </w:tcPr>
          <w:p w14:paraId="5B790CB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1.2223***</w:t>
            </w:r>
          </w:p>
        </w:tc>
        <w:tc>
          <w:tcPr>
            <w:tcW w:w="1008" w:type="dxa"/>
            <w:tcBorders>
              <w:top w:val="nil"/>
              <w:left w:val="nil"/>
              <w:bottom w:val="nil"/>
              <w:right w:val="nil"/>
            </w:tcBorders>
            <w:shd w:val="clear" w:color="auto" w:fill="auto"/>
            <w:noWrap/>
            <w:vAlign w:val="bottom"/>
            <w:hideMark/>
          </w:tcPr>
          <w:p w14:paraId="4DE9478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1.2253***</w:t>
            </w:r>
          </w:p>
        </w:tc>
        <w:tc>
          <w:tcPr>
            <w:tcW w:w="1008" w:type="dxa"/>
            <w:tcBorders>
              <w:top w:val="nil"/>
              <w:left w:val="nil"/>
              <w:bottom w:val="nil"/>
              <w:right w:val="nil"/>
            </w:tcBorders>
            <w:shd w:val="clear" w:color="auto" w:fill="auto"/>
            <w:noWrap/>
            <w:vAlign w:val="bottom"/>
            <w:hideMark/>
          </w:tcPr>
          <w:p w14:paraId="0969123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1.2107***</w:t>
            </w:r>
          </w:p>
        </w:tc>
      </w:tr>
      <w:tr w:rsidR="00B04E3D" w:rsidRPr="00B04E3D" w14:paraId="769E7FB9" w14:textId="77777777" w:rsidTr="00B773FA">
        <w:trPr>
          <w:trHeight w:val="255"/>
        </w:trPr>
        <w:tc>
          <w:tcPr>
            <w:tcW w:w="1440" w:type="dxa"/>
            <w:tcBorders>
              <w:top w:val="nil"/>
              <w:left w:val="nil"/>
              <w:bottom w:val="nil"/>
              <w:right w:val="nil"/>
            </w:tcBorders>
            <w:shd w:val="clear" w:color="auto" w:fill="auto"/>
            <w:noWrap/>
            <w:vAlign w:val="bottom"/>
            <w:hideMark/>
          </w:tcPr>
          <w:p w14:paraId="66D7C172"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7E252E6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(0.2237)</w:t>
            </w:r>
          </w:p>
        </w:tc>
        <w:tc>
          <w:tcPr>
            <w:tcW w:w="1008" w:type="dxa"/>
            <w:tcBorders>
              <w:top w:val="nil"/>
              <w:left w:val="nil"/>
              <w:bottom w:val="nil"/>
              <w:right w:val="nil"/>
            </w:tcBorders>
            <w:shd w:val="clear" w:color="auto" w:fill="auto"/>
            <w:noWrap/>
            <w:vAlign w:val="bottom"/>
            <w:hideMark/>
          </w:tcPr>
          <w:p w14:paraId="7372B04F"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(0.2274)</w:t>
            </w:r>
          </w:p>
        </w:tc>
        <w:tc>
          <w:tcPr>
            <w:tcW w:w="1008" w:type="dxa"/>
            <w:tcBorders>
              <w:top w:val="nil"/>
              <w:left w:val="nil"/>
              <w:bottom w:val="nil"/>
              <w:right w:val="nil"/>
            </w:tcBorders>
            <w:shd w:val="clear" w:color="auto" w:fill="auto"/>
            <w:noWrap/>
            <w:vAlign w:val="bottom"/>
            <w:hideMark/>
          </w:tcPr>
          <w:p w14:paraId="11E2C73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(0.2237)</w:t>
            </w:r>
          </w:p>
        </w:tc>
        <w:tc>
          <w:tcPr>
            <w:tcW w:w="1008" w:type="dxa"/>
            <w:tcBorders>
              <w:top w:val="nil"/>
              <w:left w:val="nil"/>
              <w:bottom w:val="nil"/>
              <w:right w:val="nil"/>
            </w:tcBorders>
            <w:shd w:val="clear" w:color="auto" w:fill="auto"/>
            <w:noWrap/>
            <w:vAlign w:val="bottom"/>
            <w:hideMark/>
          </w:tcPr>
          <w:p w14:paraId="4400DD2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(0.2237)</w:t>
            </w:r>
          </w:p>
        </w:tc>
        <w:tc>
          <w:tcPr>
            <w:tcW w:w="1008" w:type="dxa"/>
            <w:tcBorders>
              <w:top w:val="nil"/>
              <w:left w:val="nil"/>
              <w:bottom w:val="nil"/>
              <w:right w:val="nil"/>
            </w:tcBorders>
            <w:shd w:val="clear" w:color="auto" w:fill="auto"/>
            <w:noWrap/>
            <w:vAlign w:val="bottom"/>
            <w:hideMark/>
          </w:tcPr>
          <w:p w14:paraId="7030CAA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(0.2253)</w:t>
            </w:r>
          </w:p>
        </w:tc>
        <w:tc>
          <w:tcPr>
            <w:tcW w:w="1008" w:type="dxa"/>
            <w:tcBorders>
              <w:top w:val="nil"/>
              <w:left w:val="nil"/>
              <w:bottom w:val="nil"/>
              <w:right w:val="nil"/>
            </w:tcBorders>
            <w:shd w:val="clear" w:color="auto" w:fill="auto"/>
            <w:noWrap/>
            <w:vAlign w:val="bottom"/>
            <w:hideMark/>
          </w:tcPr>
          <w:p w14:paraId="1ADC40D1"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(0.2220)</w:t>
            </w:r>
          </w:p>
        </w:tc>
        <w:tc>
          <w:tcPr>
            <w:tcW w:w="1008" w:type="dxa"/>
            <w:tcBorders>
              <w:top w:val="nil"/>
              <w:left w:val="nil"/>
              <w:bottom w:val="nil"/>
              <w:right w:val="nil"/>
            </w:tcBorders>
            <w:shd w:val="clear" w:color="auto" w:fill="auto"/>
            <w:noWrap/>
            <w:vAlign w:val="bottom"/>
            <w:hideMark/>
          </w:tcPr>
          <w:p w14:paraId="0EAF500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(0.2209)</w:t>
            </w:r>
          </w:p>
        </w:tc>
      </w:tr>
      <w:tr w:rsidR="00B04E3D" w:rsidRPr="00B04E3D" w14:paraId="0F610850" w14:textId="77777777" w:rsidTr="00B773FA">
        <w:trPr>
          <w:trHeight w:val="255"/>
        </w:trPr>
        <w:tc>
          <w:tcPr>
            <w:tcW w:w="1440" w:type="dxa"/>
            <w:tcBorders>
              <w:top w:val="nil"/>
              <w:left w:val="nil"/>
              <w:bottom w:val="nil"/>
              <w:right w:val="nil"/>
            </w:tcBorders>
            <w:shd w:val="clear" w:color="auto" w:fill="auto"/>
            <w:noWrap/>
            <w:vAlign w:val="bottom"/>
            <w:hideMark/>
          </w:tcPr>
          <w:p w14:paraId="3996D238" w14:textId="77777777" w:rsidR="00B04E3D" w:rsidRPr="00B04E3D" w:rsidRDefault="00B04E3D" w:rsidP="00B04E3D">
            <w:pPr>
              <w:spacing w:after="0"/>
              <w:ind w:left="0"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6A0B8B7A" w14:textId="77777777" w:rsidR="00B04E3D" w:rsidRPr="00B04E3D" w:rsidRDefault="00B04E3D" w:rsidP="00B04E3D">
            <w:pPr>
              <w:spacing w:after="0"/>
              <w:ind w:left="-144" w:right="-144" w:firstLine="0"/>
              <w:jc w:val="left"/>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57F2BF0E" w14:textId="77777777" w:rsidR="00B04E3D" w:rsidRPr="00B04E3D" w:rsidRDefault="00B04E3D" w:rsidP="00B04E3D">
            <w:pPr>
              <w:spacing w:after="0"/>
              <w:ind w:left="-144" w:right="-144"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16985FF8" w14:textId="77777777" w:rsidR="00B04E3D" w:rsidRPr="00B04E3D" w:rsidRDefault="00B04E3D" w:rsidP="00B04E3D">
            <w:pPr>
              <w:spacing w:after="0"/>
              <w:ind w:left="-144" w:right="-144"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6EA66570" w14:textId="77777777" w:rsidR="00B04E3D" w:rsidRPr="00B04E3D" w:rsidRDefault="00B04E3D" w:rsidP="00B04E3D">
            <w:pPr>
              <w:spacing w:after="0"/>
              <w:ind w:left="-144" w:right="-144"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008E6A4F" w14:textId="77777777" w:rsidR="00B04E3D" w:rsidRPr="00B04E3D" w:rsidRDefault="00B04E3D" w:rsidP="00B04E3D">
            <w:pPr>
              <w:spacing w:after="0"/>
              <w:ind w:left="-144" w:right="-144"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72910C79" w14:textId="77777777" w:rsidR="00B04E3D" w:rsidRPr="00B04E3D" w:rsidRDefault="00B04E3D" w:rsidP="00B04E3D">
            <w:pPr>
              <w:spacing w:after="0"/>
              <w:ind w:left="-144" w:right="-144" w:firstLine="0"/>
              <w:jc w:val="center"/>
              <w:rPr>
                <w:color w:val="auto"/>
                <w:sz w:val="20"/>
                <w:szCs w:val="20"/>
                <w:lang w:val="en-US" w:eastAsia="en-US"/>
              </w:rPr>
            </w:pPr>
          </w:p>
        </w:tc>
        <w:tc>
          <w:tcPr>
            <w:tcW w:w="1008" w:type="dxa"/>
            <w:tcBorders>
              <w:top w:val="nil"/>
              <w:left w:val="nil"/>
              <w:bottom w:val="nil"/>
              <w:right w:val="nil"/>
            </w:tcBorders>
            <w:shd w:val="clear" w:color="auto" w:fill="auto"/>
            <w:noWrap/>
            <w:vAlign w:val="bottom"/>
            <w:hideMark/>
          </w:tcPr>
          <w:p w14:paraId="41986B81" w14:textId="77777777" w:rsidR="00B04E3D" w:rsidRPr="00B04E3D" w:rsidRDefault="00B04E3D" w:rsidP="00B04E3D">
            <w:pPr>
              <w:spacing w:after="0"/>
              <w:ind w:left="-144" w:right="-144" w:firstLine="0"/>
              <w:jc w:val="center"/>
              <w:rPr>
                <w:color w:val="auto"/>
                <w:sz w:val="20"/>
                <w:szCs w:val="20"/>
                <w:lang w:val="en-US" w:eastAsia="en-US"/>
              </w:rPr>
            </w:pPr>
          </w:p>
        </w:tc>
      </w:tr>
      <w:tr w:rsidR="00B04E3D" w:rsidRPr="00B04E3D" w14:paraId="2C8F6357" w14:textId="77777777" w:rsidTr="00B773FA">
        <w:trPr>
          <w:trHeight w:val="255"/>
        </w:trPr>
        <w:tc>
          <w:tcPr>
            <w:tcW w:w="1440" w:type="dxa"/>
            <w:tcBorders>
              <w:top w:val="nil"/>
              <w:left w:val="nil"/>
              <w:bottom w:val="nil"/>
              <w:right w:val="nil"/>
            </w:tcBorders>
            <w:shd w:val="clear" w:color="auto" w:fill="auto"/>
            <w:noWrap/>
            <w:vAlign w:val="bottom"/>
            <w:hideMark/>
          </w:tcPr>
          <w:p w14:paraId="18888D60"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Crisis effect</w:t>
            </w:r>
          </w:p>
        </w:tc>
        <w:tc>
          <w:tcPr>
            <w:tcW w:w="1008" w:type="dxa"/>
            <w:tcBorders>
              <w:top w:val="nil"/>
              <w:left w:val="nil"/>
              <w:bottom w:val="nil"/>
              <w:right w:val="nil"/>
            </w:tcBorders>
            <w:shd w:val="clear" w:color="auto" w:fill="auto"/>
            <w:noWrap/>
            <w:vAlign w:val="center"/>
            <w:hideMark/>
          </w:tcPr>
          <w:p w14:paraId="49A46B1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43AC918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4E57581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07DB036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781D93B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21B836B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3317A12F"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r>
      <w:tr w:rsidR="00B04E3D" w:rsidRPr="00B04E3D" w14:paraId="428883DF" w14:textId="77777777" w:rsidTr="00B773FA">
        <w:trPr>
          <w:trHeight w:val="255"/>
        </w:trPr>
        <w:tc>
          <w:tcPr>
            <w:tcW w:w="1440" w:type="dxa"/>
            <w:tcBorders>
              <w:top w:val="nil"/>
              <w:left w:val="nil"/>
              <w:bottom w:val="nil"/>
              <w:right w:val="nil"/>
            </w:tcBorders>
            <w:shd w:val="clear" w:color="auto" w:fill="auto"/>
            <w:noWrap/>
            <w:vAlign w:val="bottom"/>
            <w:hideMark/>
          </w:tcPr>
          <w:p w14:paraId="13E2BD3A"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Control for standard error</w:t>
            </w:r>
          </w:p>
        </w:tc>
        <w:tc>
          <w:tcPr>
            <w:tcW w:w="1008" w:type="dxa"/>
            <w:tcBorders>
              <w:top w:val="nil"/>
              <w:left w:val="nil"/>
              <w:bottom w:val="nil"/>
              <w:right w:val="nil"/>
            </w:tcBorders>
            <w:shd w:val="clear" w:color="auto" w:fill="auto"/>
            <w:noWrap/>
            <w:vAlign w:val="center"/>
            <w:hideMark/>
          </w:tcPr>
          <w:p w14:paraId="7C820B85"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2400E906"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51F860D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40A749BB"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6CC464EC"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45609158"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tcBorders>
              <w:top w:val="nil"/>
              <w:left w:val="nil"/>
              <w:bottom w:val="nil"/>
              <w:right w:val="nil"/>
            </w:tcBorders>
            <w:shd w:val="clear" w:color="auto" w:fill="auto"/>
            <w:noWrap/>
            <w:vAlign w:val="center"/>
            <w:hideMark/>
          </w:tcPr>
          <w:p w14:paraId="24B4AE1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Yes</w:t>
            </w:r>
          </w:p>
        </w:tc>
      </w:tr>
      <w:tr w:rsidR="00B04E3D" w:rsidRPr="00B04E3D" w14:paraId="422E1CC4" w14:textId="77777777" w:rsidTr="00B773FA">
        <w:trPr>
          <w:trHeight w:val="255"/>
        </w:trPr>
        <w:tc>
          <w:tcPr>
            <w:tcW w:w="1440" w:type="dxa"/>
            <w:tcBorders>
              <w:top w:val="nil"/>
              <w:left w:val="nil"/>
              <w:bottom w:val="nil"/>
              <w:right w:val="nil"/>
            </w:tcBorders>
            <w:shd w:val="clear" w:color="auto" w:fill="auto"/>
            <w:noWrap/>
            <w:vAlign w:val="bottom"/>
            <w:hideMark/>
          </w:tcPr>
          <w:p w14:paraId="0A37ED16"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Observations</w:t>
            </w:r>
          </w:p>
        </w:tc>
        <w:tc>
          <w:tcPr>
            <w:tcW w:w="1008" w:type="dxa"/>
            <w:tcBorders>
              <w:top w:val="nil"/>
              <w:left w:val="nil"/>
              <w:bottom w:val="nil"/>
              <w:right w:val="nil"/>
            </w:tcBorders>
            <w:shd w:val="clear" w:color="auto" w:fill="auto"/>
            <w:noWrap/>
            <w:vAlign w:val="center"/>
            <w:hideMark/>
          </w:tcPr>
          <w:p w14:paraId="1E8F2E2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75E93FE3"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1044E57F"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3E2500B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2C98720D"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6F5C17D7"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c>
          <w:tcPr>
            <w:tcW w:w="1008" w:type="dxa"/>
            <w:tcBorders>
              <w:top w:val="nil"/>
              <w:left w:val="nil"/>
              <w:bottom w:val="nil"/>
              <w:right w:val="nil"/>
            </w:tcBorders>
            <w:shd w:val="clear" w:color="auto" w:fill="auto"/>
            <w:noWrap/>
            <w:vAlign w:val="center"/>
            <w:hideMark/>
          </w:tcPr>
          <w:p w14:paraId="3B0B7902"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95</w:t>
            </w:r>
          </w:p>
        </w:tc>
      </w:tr>
      <w:tr w:rsidR="00B04E3D" w:rsidRPr="00B04E3D" w14:paraId="41D1F6A0" w14:textId="77777777" w:rsidTr="00B773FA">
        <w:trPr>
          <w:trHeight w:val="255"/>
        </w:trPr>
        <w:tc>
          <w:tcPr>
            <w:tcW w:w="1440" w:type="dxa"/>
            <w:tcBorders>
              <w:top w:val="nil"/>
              <w:left w:val="nil"/>
              <w:bottom w:val="single" w:sz="4" w:space="0" w:color="000000"/>
              <w:right w:val="nil"/>
            </w:tcBorders>
            <w:shd w:val="clear" w:color="auto" w:fill="auto"/>
            <w:noWrap/>
            <w:vAlign w:val="bottom"/>
            <w:hideMark/>
          </w:tcPr>
          <w:p w14:paraId="7E125946" w14:textId="77777777" w:rsidR="00B04E3D" w:rsidRPr="00B04E3D" w:rsidRDefault="00B04E3D" w:rsidP="00B04E3D">
            <w:pPr>
              <w:spacing w:after="0"/>
              <w:ind w:left="0" w:firstLine="0"/>
              <w:jc w:val="left"/>
              <w:rPr>
                <w:color w:val="auto"/>
                <w:sz w:val="20"/>
                <w:szCs w:val="20"/>
                <w:lang w:val="en-US" w:eastAsia="en-US"/>
              </w:rPr>
            </w:pPr>
            <w:r w:rsidRPr="00B04E3D">
              <w:rPr>
                <w:color w:val="auto"/>
                <w:sz w:val="20"/>
                <w:szCs w:val="20"/>
                <w:lang w:val="en-US" w:eastAsia="en-US"/>
              </w:rPr>
              <w:t>Number of firms</w:t>
            </w:r>
          </w:p>
        </w:tc>
        <w:tc>
          <w:tcPr>
            <w:tcW w:w="1008" w:type="dxa"/>
            <w:tcBorders>
              <w:top w:val="nil"/>
              <w:left w:val="nil"/>
              <w:bottom w:val="single" w:sz="4" w:space="0" w:color="000000"/>
              <w:right w:val="nil"/>
            </w:tcBorders>
            <w:shd w:val="clear" w:color="auto" w:fill="auto"/>
            <w:noWrap/>
            <w:vAlign w:val="center"/>
            <w:hideMark/>
          </w:tcPr>
          <w:p w14:paraId="20F7DCF9"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5FE510C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71C07CD9"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00828EA4"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2BA6DC28"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3B58B550"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c>
          <w:tcPr>
            <w:tcW w:w="1008" w:type="dxa"/>
            <w:tcBorders>
              <w:top w:val="nil"/>
              <w:left w:val="nil"/>
              <w:bottom w:val="single" w:sz="4" w:space="0" w:color="000000"/>
              <w:right w:val="nil"/>
            </w:tcBorders>
            <w:shd w:val="clear" w:color="auto" w:fill="auto"/>
            <w:noWrap/>
            <w:vAlign w:val="center"/>
            <w:hideMark/>
          </w:tcPr>
          <w:p w14:paraId="553087AE" w14:textId="77777777" w:rsidR="00B04E3D" w:rsidRPr="00B04E3D" w:rsidRDefault="00B04E3D" w:rsidP="00B04E3D">
            <w:pPr>
              <w:spacing w:after="0"/>
              <w:ind w:left="-144" w:right="-144" w:firstLine="0"/>
              <w:jc w:val="center"/>
              <w:rPr>
                <w:color w:val="auto"/>
                <w:sz w:val="20"/>
                <w:szCs w:val="20"/>
                <w:lang w:val="en-US" w:eastAsia="en-US"/>
              </w:rPr>
            </w:pPr>
            <w:r w:rsidRPr="00B04E3D">
              <w:rPr>
                <w:color w:val="auto"/>
                <w:sz w:val="20"/>
                <w:szCs w:val="20"/>
                <w:lang w:val="en-US" w:eastAsia="en-US"/>
              </w:rPr>
              <w:t>19</w:t>
            </w:r>
          </w:p>
        </w:tc>
      </w:tr>
      <w:tr w:rsidR="00B04E3D" w:rsidRPr="00B04E3D" w14:paraId="2B4B0C29" w14:textId="77777777" w:rsidTr="00B773FA">
        <w:trPr>
          <w:trHeight w:val="255"/>
        </w:trPr>
        <w:tc>
          <w:tcPr>
            <w:tcW w:w="8496" w:type="dxa"/>
            <w:gridSpan w:val="8"/>
            <w:tcBorders>
              <w:top w:val="nil"/>
              <w:left w:val="nil"/>
              <w:bottom w:val="nil"/>
              <w:right w:val="nil"/>
            </w:tcBorders>
            <w:shd w:val="clear" w:color="auto" w:fill="auto"/>
            <w:noWrap/>
            <w:vAlign w:val="bottom"/>
            <w:hideMark/>
          </w:tcPr>
          <w:p w14:paraId="2EEF3EDA" w14:textId="77777777" w:rsidR="00B04E3D" w:rsidRPr="00B04E3D" w:rsidRDefault="00B04E3D" w:rsidP="00B04E3D">
            <w:pPr>
              <w:spacing w:after="0"/>
              <w:ind w:left="0" w:firstLine="0"/>
              <w:rPr>
                <w:color w:val="auto"/>
                <w:sz w:val="18"/>
                <w:szCs w:val="18"/>
                <w:lang w:val="en-US" w:eastAsia="en-US"/>
              </w:rPr>
            </w:pPr>
            <w:r w:rsidRPr="00B04E3D">
              <w:rPr>
                <w:color w:val="auto"/>
                <w:sz w:val="18"/>
                <w:szCs w:val="18"/>
                <w:lang w:val="en-US" w:eastAsia="en-US"/>
              </w:rPr>
              <w:t xml:space="preserve">Notes: The number in brackets is the robust standard error. </w:t>
            </w:r>
            <w:proofErr w:type="spellStart"/>
            <w:r w:rsidRPr="00B04E3D">
              <w:rPr>
                <w:color w:val="auto"/>
                <w:sz w:val="18"/>
                <w:szCs w:val="18"/>
                <w:lang w:val="en-US" w:eastAsia="en-US"/>
              </w:rPr>
              <w:t>Accentric</w:t>
            </w:r>
            <w:proofErr w:type="spellEnd"/>
            <w:r w:rsidRPr="00B04E3D">
              <w:rPr>
                <w:color w:val="auto"/>
                <w:sz w:val="18"/>
                <w:szCs w:val="18"/>
                <w:lang w:val="en-US" w:eastAsia="en-US"/>
              </w:rPr>
              <w:t xml:space="preserve"> symbols ***, **, and * are significant at the 0.01, 0.05, and 0.1 levels.</w:t>
            </w:r>
          </w:p>
        </w:tc>
      </w:tr>
    </w:tbl>
    <w:p w14:paraId="3E28D474" w14:textId="77777777" w:rsidR="00B04E3D" w:rsidRDefault="00B04E3D" w:rsidP="00B04E3D">
      <w:pPr>
        <w:rPr>
          <w:lang w:val="id-ID"/>
        </w:rPr>
      </w:pPr>
    </w:p>
    <w:p w14:paraId="05272DD2" w14:textId="77777777" w:rsidR="00B04E3D" w:rsidRDefault="00B04E3D" w:rsidP="00B04E3D">
      <w:pPr>
        <w:spacing w:line="276" w:lineRule="auto"/>
        <w:rPr>
          <w:lang w:val="en-US" w:eastAsia="id-ID"/>
        </w:rPr>
      </w:pPr>
      <w:r w:rsidRPr="00AC43AB">
        <w:rPr>
          <w:lang w:val="en-US" w:eastAsia="id-ID"/>
        </w:rPr>
        <w:t xml:space="preserve">Table 4 </w:t>
      </w:r>
      <w:r>
        <w:rPr>
          <w:lang w:val="en-US" w:eastAsia="id-ID"/>
        </w:rPr>
        <w:t>results from</w:t>
      </w:r>
      <w:r w:rsidRPr="00AC43AB">
        <w:rPr>
          <w:lang w:val="en-US" w:eastAsia="id-ID"/>
        </w:rPr>
        <w:t xml:space="preserve"> retesting by conducting a subsample, namely removing </w:t>
      </w:r>
      <w:r>
        <w:rPr>
          <w:lang w:val="en-US" w:eastAsia="id-ID"/>
        </w:rPr>
        <w:t>firm</w:t>
      </w:r>
      <w:r w:rsidRPr="00AC43AB">
        <w:rPr>
          <w:lang w:val="en-US" w:eastAsia="id-ID"/>
        </w:rPr>
        <w:t xml:space="preserve">s that experience losses but still pay dividends. The results show consistency with the test in Table 2, namely that dividend policy can </w:t>
      </w:r>
      <w:r>
        <w:rPr>
          <w:lang w:val="en-US" w:eastAsia="id-ID"/>
        </w:rPr>
        <w:t>positively impact</w:t>
      </w:r>
      <w:r w:rsidRPr="00AC43AB">
        <w:rPr>
          <w:lang w:val="en-US" w:eastAsia="id-ID"/>
        </w:rPr>
        <w:t xml:space="preserve"> changes in firm value. The overall results </w:t>
      </w:r>
      <w:r>
        <w:rPr>
          <w:lang w:val="en-US" w:eastAsia="id-ID"/>
        </w:rPr>
        <w:t>show that for firms with poor performance, the public does not</w:t>
      </w:r>
      <w:r w:rsidRPr="00AC43AB">
        <w:rPr>
          <w:lang w:val="en-US" w:eastAsia="id-ID"/>
        </w:rPr>
        <w:t xml:space="preserve"> perceive dividend payments as a positive signal. On the other hand, the public still reacts positively to signals in dividend policies by </w:t>
      </w:r>
      <w:r>
        <w:rPr>
          <w:lang w:val="en-US" w:eastAsia="id-ID"/>
        </w:rPr>
        <w:t>firm</w:t>
      </w:r>
      <w:r w:rsidRPr="00AC43AB">
        <w:rPr>
          <w:lang w:val="en-US" w:eastAsia="id-ID"/>
        </w:rPr>
        <w:t>s with good financial performance.</w:t>
      </w:r>
    </w:p>
    <w:p w14:paraId="19BD104E" w14:textId="77777777" w:rsidR="00B04E3D" w:rsidRDefault="00B04E3D" w:rsidP="00B04E3D">
      <w:pPr>
        <w:rPr>
          <w:lang w:val="id-ID"/>
        </w:rPr>
      </w:pPr>
    </w:p>
    <w:p w14:paraId="4B158E94" w14:textId="77777777" w:rsidR="00B04E3D" w:rsidRDefault="00B04E3D" w:rsidP="00B04E3D">
      <w:pPr>
        <w:rPr>
          <w:lang w:val="id-ID"/>
        </w:rPr>
      </w:pPr>
    </w:p>
    <w:p w14:paraId="301EF3C2" w14:textId="77777777" w:rsidR="00B04E3D" w:rsidRPr="00B04E3D" w:rsidRDefault="00B04E3D" w:rsidP="00B04E3D">
      <w:pPr>
        <w:spacing w:after="0" w:line="276" w:lineRule="auto"/>
        <w:ind w:left="0" w:firstLine="0"/>
        <w:rPr>
          <w:color w:val="auto"/>
          <w:sz w:val="22"/>
          <w:szCs w:val="20"/>
          <w:lang w:val="en-US" w:eastAsia="id-ID"/>
        </w:rPr>
      </w:pPr>
      <w:proofErr w:type="gramStart"/>
      <w:r w:rsidRPr="00B04E3D">
        <w:rPr>
          <w:color w:val="auto"/>
          <w:sz w:val="22"/>
          <w:szCs w:val="20"/>
          <w:lang w:val="en-US" w:eastAsia="id-ID"/>
        </w:rPr>
        <w:lastRenderedPageBreak/>
        <w:t>Table 4.</w:t>
      </w:r>
      <w:proofErr w:type="gramEnd"/>
      <w:r w:rsidRPr="00B04E3D">
        <w:rPr>
          <w:color w:val="auto"/>
          <w:sz w:val="22"/>
          <w:szCs w:val="20"/>
          <w:lang w:val="en-US" w:eastAsia="id-ID"/>
        </w:rPr>
        <w:t xml:space="preserve"> </w:t>
      </w:r>
      <w:proofErr w:type="gramStart"/>
      <w:r w:rsidRPr="00B04E3D">
        <w:rPr>
          <w:color w:val="auto"/>
          <w:sz w:val="22"/>
          <w:szCs w:val="20"/>
          <w:lang w:val="en-US" w:eastAsia="id-ID"/>
        </w:rPr>
        <w:t>Subsample.</w:t>
      </w:r>
      <w:proofErr w:type="gramEnd"/>
    </w:p>
    <w:tbl>
      <w:tblPr>
        <w:tblW w:w="8496" w:type="dxa"/>
        <w:tblInd w:w="108" w:type="dxa"/>
        <w:tblLook w:val="04A0" w:firstRow="1" w:lastRow="0" w:firstColumn="1" w:lastColumn="0" w:noHBand="0" w:noVBand="1"/>
      </w:tblPr>
      <w:tblGrid>
        <w:gridCol w:w="1440"/>
        <w:gridCol w:w="1008"/>
        <w:gridCol w:w="1008"/>
        <w:gridCol w:w="1008"/>
        <w:gridCol w:w="1008"/>
        <w:gridCol w:w="1008"/>
        <w:gridCol w:w="1008"/>
        <w:gridCol w:w="1008"/>
      </w:tblGrid>
      <w:tr w:rsidR="00B04E3D" w:rsidRPr="00B04E3D" w14:paraId="003B943F" w14:textId="77777777" w:rsidTr="00B773FA">
        <w:trPr>
          <w:trHeight w:val="255"/>
        </w:trPr>
        <w:tc>
          <w:tcPr>
            <w:tcW w:w="1440" w:type="dxa"/>
            <w:tcBorders>
              <w:top w:val="single" w:sz="4" w:space="0" w:color="000000"/>
              <w:left w:val="nil"/>
              <w:bottom w:val="nil"/>
              <w:right w:val="nil"/>
            </w:tcBorders>
            <w:noWrap/>
            <w:vAlign w:val="bottom"/>
          </w:tcPr>
          <w:p w14:paraId="2E7A2049" w14:textId="77777777" w:rsidR="00B04E3D" w:rsidRPr="00B04E3D" w:rsidRDefault="00B04E3D" w:rsidP="00B04E3D">
            <w:pPr>
              <w:spacing w:after="0" w:line="256" w:lineRule="auto"/>
              <w:ind w:left="0" w:firstLine="0"/>
              <w:jc w:val="left"/>
              <w:rPr>
                <w:color w:val="auto"/>
                <w:sz w:val="20"/>
                <w:szCs w:val="20"/>
                <w:lang w:val="en-US" w:eastAsia="en-US"/>
              </w:rPr>
            </w:pPr>
          </w:p>
        </w:tc>
        <w:tc>
          <w:tcPr>
            <w:tcW w:w="7056" w:type="dxa"/>
            <w:gridSpan w:val="7"/>
            <w:tcBorders>
              <w:top w:val="single" w:sz="4" w:space="0" w:color="000000"/>
              <w:left w:val="nil"/>
              <w:bottom w:val="nil"/>
              <w:right w:val="nil"/>
            </w:tcBorders>
            <w:noWrap/>
            <w:vAlign w:val="bottom"/>
          </w:tcPr>
          <w:p w14:paraId="1E355CF3"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Firm Value</w:t>
            </w:r>
          </w:p>
        </w:tc>
      </w:tr>
      <w:tr w:rsidR="00B04E3D" w:rsidRPr="00B04E3D" w14:paraId="7B412F04" w14:textId="77777777" w:rsidTr="00B773FA">
        <w:trPr>
          <w:trHeight w:val="255"/>
        </w:trPr>
        <w:tc>
          <w:tcPr>
            <w:tcW w:w="1440" w:type="dxa"/>
            <w:tcBorders>
              <w:left w:val="nil"/>
              <w:bottom w:val="single" w:sz="4" w:space="0" w:color="000000"/>
              <w:right w:val="nil"/>
            </w:tcBorders>
            <w:noWrap/>
            <w:vAlign w:val="bottom"/>
            <w:hideMark/>
          </w:tcPr>
          <w:p w14:paraId="08B2F0AF"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53C81B1A"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t-3</w:t>
            </w:r>
          </w:p>
        </w:tc>
        <w:tc>
          <w:tcPr>
            <w:tcW w:w="1008" w:type="dxa"/>
            <w:tcBorders>
              <w:top w:val="single" w:sz="4" w:space="0" w:color="000000"/>
              <w:left w:val="nil"/>
              <w:bottom w:val="nil"/>
              <w:right w:val="nil"/>
            </w:tcBorders>
            <w:noWrap/>
            <w:vAlign w:val="bottom"/>
            <w:hideMark/>
          </w:tcPr>
          <w:p w14:paraId="3EC49F22"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t-2</w:t>
            </w:r>
          </w:p>
        </w:tc>
        <w:tc>
          <w:tcPr>
            <w:tcW w:w="1008" w:type="dxa"/>
            <w:tcBorders>
              <w:top w:val="single" w:sz="4" w:space="0" w:color="000000"/>
              <w:left w:val="nil"/>
              <w:bottom w:val="nil"/>
              <w:right w:val="nil"/>
            </w:tcBorders>
            <w:noWrap/>
            <w:vAlign w:val="bottom"/>
            <w:hideMark/>
          </w:tcPr>
          <w:p w14:paraId="1819BF15"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t-1</w:t>
            </w:r>
          </w:p>
        </w:tc>
        <w:tc>
          <w:tcPr>
            <w:tcW w:w="1008" w:type="dxa"/>
            <w:tcBorders>
              <w:top w:val="single" w:sz="4" w:space="0" w:color="000000"/>
              <w:left w:val="nil"/>
              <w:bottom w:val="nil"/>
              <w:right w:val="nil"/>
            </w:tcBorders>
            <w:noWrap/>
            <w:vAlign w:val="bottom"/>
            <w:hideMark/>
          </w:tcPr>
          <w:p w14:paraId="2EC45967"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w:t>
            </w:r>
          </w:p>
        </w:tc>
        <w:tc>
          <w:tcPr>
            <w:tcW w:w="1008" w:type="dxa"/>
            <w:tcBorders>
              <w:top w:val="single" w:sz="4" w:space="0" w:color="000000"/>
              <w:left w:val="nil"/>
              <w:bottom w:val="nil"/>
              <w:right w:val="nil"/>
            </w:tcBorders>
            <w:noWrap/>
            <w:vAlign w:val="bottom"/>
            <w:hideMark/>
          </w:tcPr>
          <w:p w14:paraId="3DA696EA"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t+1</w:t>
            </w:r>
          </w:p>
        </w:tc>
        <w:tc>
          <w:tcPr>
            <w:tcW w:w="1008" w:type="dxa"/>
            <w:tcBorders>
              <w:top w:val="single" w:sz="4" w:space="0" w:color="000000"/>
              <w:left w:val="nil"/>
              <w:bottom w:val="nil"/>
              <w:right w:val="nil"/>
            </w:tcBorders>
            <w:noWrap/>
            <w:vAlign w:val="bottom"/>
            <w:hideMark/>
          </w:tcPr>
          <w:p w14:paraId="3AF86853"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t+2</w:t>
            </w:r>
          </w:p>
        </w:tc>
        <w:tc>
          <w:tcPr>
            <w:tcW w:w="1008" w:type="dxa"/>
            <w:tcBorders>
              <w:top w:val="single" w:sz="4" w:space="0" w:color="000000"/>
              <w:left w:val="nil"/>
              <w:bottom w:val="nil"/>
              <w:right w:val="nil"/>
            </w:tcBorders>
            <w:noWrap/>
            <w:vAlign w:val="bottom"/>
            <w:hideMark/>
          </w:tcPr>
          <w:p w14:paraId="66C6FF68"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t+3</w:t>
            </w:r>
          </w:p>
        </w:tc>
      </w:tr>
      <w:tr w:rsidR="00B04E3D" w:rsidRPr="00B04E3D" w14:paraId="7AC5A34E" w14:textId="77777777" w:rsidTr="00B773FA">
        <w:trPr>
          <w:trHeight w:val="255"/>
        </w:trPr>
        <w:tc>
          <w:tcPr>
            <w:tcW w:w="1440" w:type="dxa"/>
            <w:tcBorders>
              <w:top w:val="single" w:sz="4" w:space="0" w:color="000000"/>
              <w:left w:val="nil"/>
              <w:bottom w:val="nil"/>
              <w:right w:val="nil"/>
            </w:tcBorders>
            <w:noWrap/>
            <w:vAlign w:val="bottom"/>
            <w:hideMark/>
          </w:tcPr>
          <w:p w14:paraId="0EB59E6C"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688B5359"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44096D6D"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38B7BE3F"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7C0A53F2"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33435BAF"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3A210A49"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c>
          <w:tcPr>
            <w:tcW w:w="1008" w:type="dxa"/>
            <w:tcBorders>
              <w:top w:val="single" w:sz="4" w:space="0" w:color="000000"/>
              <w:left w:val="nil"/>
              <w:bottom w:val="nil"/>
              <w:right w:val="nil"/>
            </w:tcBorders>
            <w:noWrap/>
            <w:vAlign w:val="bottom"/>
            <w:hideMark/>
          </w:tcPr>
          <w:p w14:paraId="209477D3" w14:textId="77777777" w:rsidR="00B04E3D" w:rsidRPr="00B04E3D" w:rsidRDefault="00B04E3D" w:rsidP="00B04E3D">
            <w:pPr>
              <w:spacing w:after="0" w:line="256" w:lineRule="auto"/>
              <w:ind w:left="0" w:firstLine="0"/>
              <w:jc w:val="center"/>
              <w:rPr>
                <w:color w:val="auto"/>
                <w:sz w:val="20"/>
                <w:szCs w:val="20"/>
                <w:lang w:val="en-US" w:eastAsia="en-US"/>
              </w:rPr>
            </w:pPr>
            <w:r w:rsidRPr="00B04E3D">
              <w:rPr>
                <w:color w:val="auto"/>
                <w:sz w:val="20"/>
                <w:szCs w:val="20"/>
                <w:lang w:val="en-US" w:eastAsia="en-US"/>
              </w:rPr>
              <w:t> </w:t>
            </w:r>
          </w:p>
        </w:tc>
      </w:tr>
      <w:tr w:rsidR="00B04E3D" w:rsidRPr="00B04E3D" w14:paraId="3ACE9C5C" w14:textId="77777777" w:rsidTr="00B773FA">
        <w:trPr>
          <w:trHeight w:val="255"/>
        </w:trPr>
        <w:tc>
          <w:tcPr>
            <w:tcW w:w="1440" w:type="dxa"/>
            <w:noWrap/>
            <w:vAlign w:val="bottom"/>
            <w:hideMark/>
          </w:tcPr>
          <w:p w14:paraId="0B16D662"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Liquidity</w:t>
            </w:r>
          </w:p>
        </w:tc>
        <w:tc>
          <w:tcPr>
            <w:tcW w:w="1008" w:type="dxa"/>
            <w:noWrap/>
            <w:vAlign w:val="bottom"/>
            <w:hideMark/>
          </w:tcPr>
          <w:p w14:paraId="062B2893"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-0.0688</w:t>
            </w:r>
          </w:p>
        </w:tc>
        <w:tc>
          <w:tcPr>
            <w:tcW w:w="1008" w:type="dxa"/>
            <w:noWrap/>
            <w:vAlign w:val="bottom"/>
            <w:hideMark/>
          </w:tcPr>
          <w:p w14:paraId="40C0410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-0.0568</w:t>
            </w:r>
          </w:p>
        </w:tc>
        <w:tc>
          <w:tcPr>
            <w:tcW w:w="1008" w:type="dxa"/>
            <w:noWrap/>
            <w:vAlign w:val="bottom"/>
            <w:hideMark/>
          </w:tcPr>
          <w:p w14:paraId="2A8AA6A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-0.0688</w:t>
            </w:r>
          </w:p>
        </w:tc>
        <w:tc>
          <w:tcPr>
            <w:tcW w:w="1008" w:type="dxa"/>
            <w:noWrap/>
            <w:vAlign w:val="bottom"/>
            <w:hideMark/>
          </w:tcPr>
          <w:p w14:paraId="2427D54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-0.0688</w:t>
            </w:r>
          </w:p>
        </w:tc>
        <w:tc>
          <w:tcPr>
            <w:tcW w:w="1008" w:type="dxa"/>
            <w:noWrap/>
            <w:vAlign w:val="bottom"/>
            <w:hideMark/>
          </w:tcPr>
          <w:p w14:paraId="272D7CED"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-0.0704</w:t>
            </w:r>
          </w:p>
        </w:tc>
        <w:tc>
          <w:tcPr>
            <w:tcW w:w="1008" w:type="dxa"/>
            <w:noWrap/>
            <w:vAlign w:val="bottom"/>
            <w:hideMark/>
          </w:tcPr>
          <w:p w14:paraId="171E672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-0.0715</w:t>
            </w:r>
          </w:p>
        </w:tc>
        <w:tc>
          <w:tcPr>
            <w:tcW w:w="1008" w:type="dxa"/>
            <w:noWrap/>
            <w:vAlign w:val="bottom"/>
            <w:hideMark/>
          </w:tcPr>
          <w:p w14:paraId="046892A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-0.0648</w:t>
            </w:r>
          </w:p>
        </w:tc>
      </w:tr>
      <w:tr w:rsidR="00B04E3D" w:rsidRPr="00B04E3D" w14:paraId="5763F4F2" w14:textId="77777777" w:rsidTr="00B773FA">
        <w:trPr>
          <w:trHeight w:val="255"/>
        </w:trPr>
        <w:tc>
          <w:tcPr>
            <w:tcW w:w="1440" w:type="dxa"/>
            <w:noWrap/>
            <w:vAlign w:val="bottom"/>
            <w:hideMark/>
          </w:tcPr>
          <w:p w14:paraId="235135CA"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7D893AF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(0.1110)</w:t>
            </w:r>
          </w:p>
        </w:tc>
        <w:tc>
          <w:tcPr>
            <w:tcW w:w="1008" w:type="dxa"/>
            <w:noWrap/>
            <w:vAlign w:val="bottom"/>
            <w:hideMark/>
          </w:tcPr>
          <w:p w14:paraId="14A89CA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(0.1064)</w:t>
            </w:r>
          </w:p>
        </w:tc>
        <w:tc>
          <w:tcPr>
            <w:tcW w:w="1008" w:type="dxa"/>
            <w:noWrap/>
            <w:vAlign w:val="bottom"/>
            <w:hideMark/>
          </w:tcPr>
          <w:p w14:paraId="238E9B0C"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(0.1110)</w:t>
            </w:r>
          </w:p>
        </w:tc>
        <w:tc>
          <w:tcPr>
            <w:tcW w:w="1008" w:type="dxa"/>
            <w:noWrap/>
            <w:vAlign w:val="bottom"/>
            <w:hideMark/>
          </w:tcPr>
          <w:p w14:paraId="30DECFCF"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(0.1110)</w:t>
            </w:r>
          </w:p>
        </w:tc>
        <w:tc>
          <w:tcPr>
            <w:tcW w:w="1008" w:type="dxa"/>
            <w:noWrap/>
            <w:vAlign w:val="bottom"/>
            <w:hideMark/>
          </w:tcPr>
          <w:p w14:paraId="6ED717B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(0.1108)</w:t>
            </w:r>
          </w:p>
        </w:tc>
        <w:tc>
          <w:tcPr>
            <w:tcW w:w="1008" w:type="dxa"/>
            <w:noWrap/>
            <w:vAlign w:val="bottom"/>
            <w:hideMark/>
          </w:tcPr>
          <w:p w14:paraId="4CB6517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(0.1117)</w:t>
            </w:r>
          </w:p>
        </w:tc>
        <w:tc>
          <w:tcPr>
            <w:tcW w:w="1008" w:type="dxa"/>
            <w:noWrap/>
            <w:vAlign w:val="bottom"/>
            <w:hideMark/>
          </w:tcPr>
          <w:p w14:paraId="0960889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(0.1075)</w:t>
            </w:r>
          </w:p>
        </w:tc>
      </w:tr>
      <w:tr w:rsidR="00B04E3D" w:rsidRPr="00B04E3D" w14:paraId="32D3551D" w14:textId="77777777" w:rsidTr="00B773FA">
        <w:trPr>
          <w:trHeight w:val="255"/>
        </w:trPr>
        <w:tc>
          <w:tcPr>
            <w:tcW w:w="1440" w:type="dxa"/>
            <w:noWrap/>
            <w:vAlign w:val="bottom"/>
            <w:hideMark/>
          </w:tcPr>
          <w:p w14:paraId="30B8D2B0"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Leverage</w:t>
            </w:r>
          </w:p>
        </w:tc>
        <w:tc>
          <w:tcPr>
            <w:tcW w:w="1008" w:type="dxa"/>
            <w:noWrap/>
            <w:vAlign w:val="bottom"/>
            <w:hideMark/>
          </w:tcPr>
          <w:p w14:paraId="3D777D8F"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-0.0184</w:t>
            </w:r>
          </w:p>
        </w:tc>
        <w:tc>
          <w:tcPr>
            <w:tcW w:w="1008" w:type="dxa"/>
            <w:noWrap/>
            <w:vAlign w:val="bottom"/>
            <w:hideMark/>
          </w:tcPr>
          <w:p w14:paraId="2C18A5B3"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-0.0396</w:t>
            </w:r>
          </w:p>
        </w:tc>
        <w:tc>
          <w:tcPr>
            <w:tcW w:w="1008" w:type="dxa"/>
            <w:noWrap/>
            <w:vAlign w:val="bottom"/>
            <w:hideMark/>
          </w:tcPr>
          <w:p w14:paraId="48999A3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-0.0184</w:t>
            </w:r>
          </w:p>
        </w:tc>
        <w:tc>
          <w:tcPr>
            <w:tcW w:w="1008" w:type="dxa"/>
            <w:noWrap/>
            <w:vAlign w:val="bottom"/>
            <w:hideMark/>
          </w:tcPr>
          <w:p w14:paraId="47BD45A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-0.0184</w:t>
            </w:r>
          </w:p>
        </w:tc>
        <w:tc>
          <w:tcPr>
            <w:tcW w:w="1008" w:type="dxa"/>
            <w:noWrap/>
            <w:vAlign w:val="bottom"/>
            <w:hideMark/>
          </w:tcPr>
          <w:p w14:paraId="4326218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-0.0249</w:t>
            </w:r>
          </w:p>
        </w:tc>
        <w:tc>
          <w:tcPr>
            <w:tcW w:w="1008" w:type="dxa"/>
            <w:noWrap/>
            <w:vAlign w:val="bottom"/>
            <w:hideMark/>
          </w:tcPr>
          <w:p w14:paraId="28E1670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-0.0295</w:t>
            </w:r>
          </w:p>
        </w:tc>
        <w:tc>
          <w:tcPr>
            <w:tcW w:w="1008" w:type="dxa"/>
            <w:noWrap/>
            <w:vAlign w:val="bottom"/>
            <w:hideMark/>
          </w:tcPr>
          <w:p w14:paraId="6A3949D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-0.0236</w:t>
            </w:r>
          </w:p>
        </w:tc>
      </w:tr>
      <w:tr w:rsidR="00B04E3D" w:rsidRPr="00B04E3D" w14:paraId="18A5A7BD" w14:textId="77777777" w:rsidTr="00B773FA">
        <w:trPr>
          <w:trHeight w:val="255"/>
        </w:trPr>
        <w:tc>
          <w:tcPr>
            <w:tcW w:w="1440" w:type="dxa"/>
            <w:noWrap/>
            <w:vAlign w:val="bottom"/>
            <w:hideMark/>
          </w:tcPr>
          <w:p w14:paraId="70750B5B"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5541896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(0.1925)</w:t>
            </w:r>
          </w:p>
        </w:tc>
        <w:tc>
          <w:tcPr>
            <w:tcW w:w="1008" w:type="dxa"/>
            <w:noWrap/>
            <w:vAlign w:val="bottom"/>
            <w:hideMark/>
          </w:tcPr>
          <w:p w14:paraId="4E40610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(0.1879)</w:t>
            </w:r>
          </w:p>
        </w:tc>
        <w:tc>
          <w:tcPr>
            <w:tcW w:w="1008" w:type="dxa"/>
            <w:noWrap/>
            <w:vAlign w:val="bottom"/>
            <w:hideMark/>
          </w:tcPr>
          <w:p w14:paraId="16D6F6A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(0.1925)</w:t>
            </w:r>
          </w:p>
        </w:tc>
        <w:tc>
          <w:tcPr>
            <w:tcW w:w="1008" w:type="dxa"/>
            <w:noWrap/>
            <w:vAlign w:val="bottom"/>
            <w:hideMark/>
          </w:tcPr>
          <w:p w14:paraId="4FC1257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(0.1925)</w:t>
            </w:r>
          </w:p>
        </w:tc>
        <w:tc>
          <w:tcPr>
            <w:tcW w:w="1008" w:type="dxa"/>
            <w:noWrap/>
            <w:vAlign w:val="bottom"/>
            <w:hideMark/>
          </w:tcPr>
          <w:p w14:paraId="3FC7BE1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(0.1941)</w:t>
            </w:r>
          </w:p>
        </w:tc>
        <w:tc>
          <w:tcPr>
            <w:tcW w:w="1008" w:type="dxa"/>
            <w:noWrap/>
            <w:vAlign w:val="bottom"/>
            <w:hideMark/>
          </w:tcPr>
          <w:p w14:paraId="6CD4737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(0.1934)</w:t>
            </w:r>
          </w:p>
        </w:tc>
        <w:tc>
          <w:tcPr>
            <w:tcW w:w="1008" w:type="dxa"/>
            <w:noWrap/>
            <w:vAlign w:val="bottom"/>
            <w:hideMark/>
          </w:tcPr>
          <w:p w14:paraId="2D5E606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(0.1899)</w:t>
            </w:r>
          </w:p>
        </w:tc>
      </w:tr>
      <w:tr w:rsidR="00B04E3D" w:rsidRPr="00B04E3D" w14:paraId="21E4EC79" w14:textId="77777777" w:rsidTr="00B773FA">
        <w:trPr>
          <w:trHeight w:val="255"/>
        </w:trPr>
        <w:tc>
          <w:tcPr>
            <w:tcW w:w="1440" w:type="dxa"/>
            <w:noWrap/>
            <w:vAlign w:val="bottom"/>
            <w:hideMark/>
          </w:tcPr>
          <w:p w14:paraId="2620C059"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Profitability</w:t>
            </w:r>
          </w:p>
        </w:tc>
        <w:tc>
          <w:tcPr>
            <w:tcW w:w="1008" w:type="dxa"/>
            <w:noWrap/>
            <w:vAlign w:val="bottom"/>
            <w:hideMark/>
          </w:tcPr>
          <w:p w14:paraId="517FE32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2.7453</w:t>
            </w:r>
          </w:p>
        </w:tc>
        <w:tc>
          <w:tcPr>
            <w:tcW w:w="1008" w:type="dxa"/>
            <w:noWrap/>
            <w:vAlign w:val="bottom"/>
            <w:hideMark/>
          </w:tcPr>
          <w:p w14:paraId="3239702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3.3990</w:t>
            </w:r>
          </w:p>
        </w:tc>
        <w:tc>
          <w:tcPr>
            <w:tcW w:w="1008" w:type="dxa"/>
            <w:noWrap/>
            <w:vAlign w:val="bottom"/>
            <w:hideMark/>
          </w:tcPr>
          <w:p w14:paraId="6090A27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2.7453</w:t>
            </w:r>
          </w:p>
        </w:tc>
        <w:tc>
          <w:tcPr>
            <w:tcW w:w="1008" w:type="dxa"/>
            <w:noWrap/>
            <w:vAlign w:val="bottom"/>
            <w:hideMark/>
          </w:tcPr>
          <w:p w14:paraId="27B4C92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2.7453</w:t>
            </w:r>
          </w:p>
        </w:tc>
        <w:tc>
          <w:tcPr>
            <w:tcW w:w="1008" w:type="dxa"/>
            <w:noWrap/>
            <w:vAlign w:val="bottom"/>
            <w:hideMark/>
          </w:tcPr>
          <w:p w14:paraId="5D96B46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2.8459</w:t>
            </w:r>
          </w:p>
        </w:tc>
        <w:tc>
          <w:tcPr>
            <w:tcW w:w="1008" w:type="dxa"/>
            <w:noWrap/>
            <w:vAlign w:val="bottom"/>
            <w:hideMark/>
          </w:tcPr>
          <w:p w14:paraId="7994240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2.9637</w:t>
            </w:r>
          </w:p>
        </w:tc>
        <w:tc>
          <w:tcPr>
            <w:tcW w:w="1008" w:type="dxa"/>
            <w:noWrap/>
            <w:vAlign w:val="bottom"/>
            <w:hideMark/>
          </w:tcPr>
          <w:p w14:paraId="4336A1A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2.9569</w:t>
            </w:r>
          </w:p>
        </w:tc>
      </w:tr>
      <w:tr w:rsidR="00B04E3D" w:rsidRPr="00B04E3D" w14:paraId="2C6B283D" w14:textId="77777777" w:rsidTr="00B773FA">
        <w:trPr>
          <w:trHeight w:val="255"/>
        </w:trPr>
        <w:tc>
          <w:tcPr>
            <w:tcW w:w="1440" w:type="dxa"/>
            <w:noWrap/>
            <w:vAlign w:val="bottom"/>
            <w:hideMark/>
          </w:tcPr>
          <w:p w14:paraId="66509F25"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3DF6295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(2.2580)</w:t>
            </w:r>
          </w:p>
        </w:tc>
        <w:tc>
          <w:tcPr>
            <w:tcW w:w="1008" w:type="dxa"/>
            <w:noWrap/>
            <w:vAlign w:val="bottom"/>
            <w:hideMark/>
          </w:tcPr>
          <w:p w14:paraId="279C620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(2.2593)</w:t>
            </w:r>
          </w:p>
        </w:tc>
        <w:tc>
          <w:tcPr>
            <w:tcW w:w="1008" w:type="dxa"/>
            <w:noWrap/>
            <w:vAlign w:val="bottom"/>
            <w:hideMark/>
          </w:tcPr>
          <w:p w14:paraId="35691FE0"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(2.2580)</w:t>
            </w:r>
          </w:p>
        </w:tc>
        <w:tc>
          <w:tcPr>
            <w:tcW w:w="1008" w:type="dxa"/>
            <w:noWrap/>
            <w:vAlign w:val="bottom"/>
            <w:hideMark/>
          </w:tcPr>
          <w:p w14:paraId="1CF8A7D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(2.2580)</w:t>
            </w:r>
          </w:p>
        </w:tc>
        <w:tc>
          <w:tcPr>
            <w:tcW w:w="1008" w:type="dxa"/>
            <w:noWrap/>
            <w:vAlign w:val="bottom"/>
            <w:hideMark/>
          </w:tcPr>
          <w:p w14:paraId="0A4BF0A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(2.2743)</w:t>
            </w:r>
          </w:p>
        </w:tc>
        <w:tc>
          <w:tcPr>
            <w:tcW w:w="1008" w:type="dxa"/>
            <w:noWrap/>
            <w:vAlign w:val="bottom"/>
            <w:hideMark/>
          </w:tcPr>
          <w:p w14:paraId="1E5BC85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(2.2464)</w:t>
            </w:r>
          </w:p>
        </w:tc>
        <w:tc>
          <w:tcPr>
            <w:tcW w:w="1008" w:type="dxa"/>
            <w:noWrap/>
            <w:vAlign w:val="bottom"/>
            <w:hideMark/>
          </w:tcPr>
          <w:p w14:paraId="4221F970"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(2.1875)</w:t>
            </w:r>
          </w:p>
        </w:tc>
      </w:tr>
      <w:tr w:rsidR="00B04E3D" w:rsidRPr="00B04E3D" w14:paraId="51B39A21" w14:textId="77777777" w:rsidTr="00B773FA">
        <w:trPr>
          <w:trHeight w:val="255"/>
        </w:trPr>
        <w:tc>
          <w:tcPr>
            <w:tcW w:w="1440" w:type="dxa"/>
            <w:noWrap/>
            <w:vAlign w:val="bottom"/>
            <w:hideMark/>
          </w:tcPr>
          <w:p w14:paraId="25F36AE1"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Dividend</w:t>
            </w:r>
          </w:p>
        </w:tc>
        <w:tc>
          <w:tcPr>
            <w:tcW w:w="1008" w:type="dxa"/>
            <w:noWrap/>
            <w:vAlign w:val="bottom"/>
            <w:hideMark/>
          </w:tcPr>
          <w:p w14:paraId="0657EE7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0.2697*</w:t>
            </w:r>
          </w:p>
        </w:tc>
        <w:tc>
          <w:tcPr>
            <w:tcW w:w="1008" w:type="dxa"/>
            <w:noWrap/>
            <w:vAlign w:val="bottom"/>
            <w:hideMark/>
          </w:tcPr>
          <w:p w14:paraId="76650673"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0.2749*</w:t>
            </w:r>
          </w:p>
        </w:tc>
        <w:tc>
          <w:tcPr>
            <w:tcW w:w="1008" w:type="dxa"/>
            <w:noWrap/>
            <w:vAlign w:val="bottom"/>
            <w:hideMark/>
          </w:tcPr>
          <w:p w14:paraId="1CB5703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0.2697*</w:t>
            </w:r>
          </w:p>
        </w:tc>
        <w:tc>
          <w:tcPr>
            <w:tcW w:w="1008" w:type="dxa"/>
            <w:noWrap/>
            <w:vAlign w:val="bottom"/>
            <w:hideMark/>
          </w:tcPr>
          <w:p w14:paraId="779E294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0.2697*</w:t>
            </w:r>
          </w:p>
        </w:tc>
        <w:tc>
          <w:tcPr>
            <w:tcW w:w="1008" w:type="dxa"/>
            <w:noWrap/>
            <w:vAlign w:val="bottom"/>
            <w:hideMark/>
          </w:tcPr>
          <w:p w14:paraId="09A2269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0.2807**</w:t>
            </w:r>
          </w:p>
        </w:tc>
        <w:tc>
          <w:tcPr>
            <w:tcW w:w="1008" w:type="dxa"/>
            <w:noWrap/>
            <w:vAlign w:val="bottom"/>
            <w:hideMark/>
          </w:tcPr>
          <w:p w14:paraId="2CB03A4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0.2698*</w:t>
            </w:r>
          </w:p>
        </w:tc>
        <w:tc>
          <w:tcPr>
            <w:tcW w:w="1008" w:type="dxa"/>
            <w:noWrap/>
            <w:vAlign w:val="bottom"/>
            <w:hideMark/>
          </w:tcPr>
          <w:p w14:paraId="7FB80563"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0.2666*</w:t>
            </w:r>
          </w:p>
        </w:tc>
      </w:tr>
      <w:tr w:rsidR="00B04E3D" w:rsidRPr="00B04E3D" w14:paraId="192967E7" w14:textId="77777777" w:rsidTr="00B773FA">
        <w:trPr>
          <w:trHeight w:val="255"/>
        </w:trPr>
        <w:tc>
          <w:tcPr>
            <w:tcW w:w="1440" w:type="dxa"/>
            <w:noWrap/>
            <w:vAlign w:val="bottom"/>
            <w:hideMark/>
          </w:tcPr>
          <w:p w14:paraId="722CC4DE"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3A89738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(0.1296)</w:t>
            </w:r>
          </w:p>
        </w:tc>
        <w:tc>
          <w:tcPr>
            <w:tcW w:w="1008" w:type="dxa"/>
            <w:noWrap/>
            <w:vAlign w:val="bottom"/>
            <w:hideMark/>
          </w:tcPr>
          <w:p w14:paraId="4621FE0D"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(0.1302)</w:t>
            </w:r>
          </w:p>
        </w:tc>
        <w:tc>
          <w:tcPr>
            <w:tcW w:w="1008" w:type="dxa"/>
            <w:noWrap/>
            <w:vAlign w:val="bottom"/>
            <w:hideMark/>
          </w:tcPr>
          <w:p w14:paraId="211C03C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(0.1296)</w:t>
            </w:r>
          </w:p>
        </w:tc>
        <w:tc>
          <w:tcPr>
            <w:tcW w:w="1008" w:type="dxa"/>
            <w:noWrap/>
            <w:vAlign w:val="bottom"/>
            <w:hideMark/>
          </w:tcPr>
          <w:p w14:paraId="4ACAA97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(0.1296)</w:t>
            </w:r>
          </w:p>
        </w:tc>
        <w:tc>
          <w:tcPr>
            <w:tcW w:w="1008" w:type="dxa"/>
            <w:noWrap/>
            <w:vAlign w:val="bottom"/>
            <w:hideMark/>
          </w:tcPr>
          <w:p w14:paraId="5BD3F37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(0.1307)</w:t>
            </w:r>
          </w:p>
        </w:tc>
        <w:tc>
          <w:tcPr>
            <w:tcW w:w="1008" w:type="dxa"/>
            <w:noWrap/>
            <w:vAlign w:val="bottom"/>
            <w:hideMark/>
          </w:tcPr>
          <w:p w14:paraId="6D30607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(0.1290)</w:t>
            </w:r>
          </w:p>
        </w:tc>
        <w:tc>
          <w:tcPr>
            <w:tcW w:w="1008" w:type="dxa"/>
            <w:noWrap/>
            <w:vAlign w:val="bottom"/>
            <w:hideMark/>
          </w:tcPr>
          <w:p w14:paraId="73F1AA9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(0.1366)</w:t>
            </w:r>
          </w:p>
        </w:tc>
      </w:tr>
      <w:tr w:rsidR="00B04E3D" w:rsidRPr="00B04E3D" w14:paraId="7572FB00" w14:textId="77777777" w:rsidTr="00B773FA">
        <w:trPr>
          <w:trHeight w:val="255"/>
        </w:trPr>
        <w:tc>
          <w:tcPr>
            <w:tcW w:w="1440" w:type="dxa"/>
            <w:noWrap/>
            <w:vAlign w:val="bottom"/>
            <w:hideMark/>
          </w:tcPr>
          <w:p w14:paraId="6483B9B2"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Constant</w:t>
            </w:r>
          </w:p>
        </w:tc>
        <w:tc>
          <w:tcPr>
            <w:tcW w:w="1008" w:type="dxa"/>
            <w:noWrap/>
            <w:vAlign w:val="bottom"/>
            <w:hideMark/>
          </w:tcPr>
          <w:p w14:paraId="2C77C50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1.7295***</w:t>
            </w:r>
          </w:p>
        </w:tc>
        <w:tc>
          <w:tcPr>
            <w:tcW w:w="1008" w:type="dxa"/>
            <w:noWrap/>
            <w:vAlign w:val="bottom"/>
            <w:hideMark/>
          </w:tcPr>
          <w:p w14:paraId="09CE251D"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1.6668***</w:t>
            </w:r>
          </w:p>
        </w:tc>
        <w:tc>
          <w:tcPr>
            <w:tcW w:w="1008" w:type="dxa"/>
            <w:noWrap/>
            <w:vAlign w:val="bottom"/>
            <w:hideMark/>
          </w:tcPr>
          <w:p w14:paraId="44728A4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1.7295***</w:t>
            </w:r>
          </w:p>
        </w:tc>
        <w:tc>
          <w:tcPr>
            <w:tcW w:w="1008" w:type="dxa"/>
            <w:noWrap/>
            <w:vAlign w:val="bottom"/>
            <w:hideMark/>
          </w:tcPr>
          <w:p w14:paraId="792F76D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1.7295***</w:t>
            </w:r>
          </w:p>
        </w:tc>
        <w:tc>
          <w:tcPr>
            <w:tcW w:w="1008" w:type="dxa"/>
            <w:noWrap/>
            <w:vAlign w:val="bottom"/>
            <w:hideMark/>
          </w:tcPr>
          <w:p w14:paraId="2CF021E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1.7342***</w:t>
            </w:r>
          </w:p>
        </w:tc>
        <w:tc>
          <w:tcPr>
            <w:tcW w:w="1008" w:type="dxa"/>
            <w:noWrap/>
            <w:vAlign w:val="bottom"/>
            <w:hideMark/>
          </w:tcPr>
          <w:p w14:paraId="135078B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1.7333***</w:t>
            </w:r>
          </w:p>
        </w:tc>
        <w:tc>
          <w:tcPr>
            <w:tcW w:w="1008" w:type="dxa"/>
            <w:noWrap/>
            <w:vAlign w:val="bottom"/>
            <w:hideMark/>
          </w:tcPr>
          <w:p w14:paraId="11333B3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1.7050***</w:t>
            </w:r>
          </w:p>
        </w:tc>
      </w:tr>
      <w:tr w:rsidR="00B04E3D" w:rsidRPr="00B04E3D" w14:paraId="69F96A19" w14:textId="77777777" w:rsidTr="00B773FA">
        <w:trPr>
          <w:trHeight w:val="255"/>
        </w:trPr>
        <w:tc>
          <w:tcPr>
            <w:tcW w:w="1440" w:type="dxa"/>
            <w:noWrap/>
            <w:vAlign w:val="bottom"/>
            <w:hideMark/>
          </w:tcPr>
          <w:p w14:paraId="57142948"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3B8099C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(0.5161)</w:t>
            </w:r>
          </w:p>
        </w:tc>
        <w:tc>
          <w:tcPr>
            <w:tcW w:w="1008" w:type="dxa"/>
            <w:noWrap/>
            <w:vAlign w:val="bottom"/>
            <w:hideMark/>
          </w:tcPr>
          <w:p w14:paraId="4F98535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(0.4919)</w:t>
            </w:r>
          </w:p>
        </w:tc>
        <w:tc>
          <w:tcPr>
            <w:tcW w:w="1008" w:type="dxa"/>
            <w:noWrap/>
            <w:vAlign w:val="bottom"/>
            <w:hideMark/>
          </w:tcPr>
          <w:p w14:paraId="21C2079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(0.5161)</w:t>
            </w:r>
          </w:p>
        </w:tc>
        <w:tc>
          <w:tcPr>
            <w:tcW w:w="1008" w:type="dxa"/>
            <w:noWrap/>
            <w:vAlign w:val="bottom"/>
            <w:hideMark/>
          </w:tcPr>
          <w:p w14:paraId="2BAA4E00"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(0.5161)</w:t>
            </w:r>
          </w:p>
        </w:tc>
        <w:tc>
          <w:tcPr>
            <w:tcW w:w="1008" w:type="dxa"/>
            <w:noWrap/>
            <w:vAlign w:val="bottom"/>
            <w:hideMark/>
          </w:tcPr>
          <w:p w14:paraId="3F7F328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(0.5181)</w:t>
            </w:r>
          </w:p>
        </w:tc>
        <w:tc>
          <w:tcPr>
            <w:tcW w:w="1008" w:type="dxa"/>
            <w:noWrap/>
            <w:vAlign w:val="bottom"/>
            <w:hideMark/>
          </w:tcPr>
          <w:p w14:paraId="0DC29820"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(0.5209)</w:t>
            </w:r>
          </w:p>
        </w:tc>
        <w:tc>
          <w:tcPr>
            <w:tcW w:w="1008" w:type="dxa"/>
            <w:noWrap/>
            <w:vAlign w:val="bottom"/>
            <w:hideMark/>
          </w:tcPr>
          <w:p w14:paraId="7D52BBB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(0.4904)</w:t>
            </w:r>
          </w:p>
        </w:tc>
      </w:tr>
      <w:tr w:rsidR="00B04E3D" w:rsidRPr="00B04E3D" w14:paraId="133DA0E2" w14:textId="77777777" w:rsidTr="00B773FA">
        <w:trPr>
          <w:trHeight w:val="255"/>
        </w:trPr>
        <w:tc>
          <w:tcPr>
            <w:tcW w:w="1440" w:type="dxa"/>
            <w:noWrap/>
            <w:vAlign w:val="bottom"/>
            <w:hideMark/>
          </w:tcPr>
          <w:p w14:paraId="20682783" w14:textId="77777777" w:rsidR="00B04E3D" w:rsidRPr="00B04E3D" w:rsidRDefault="00B04E3D" w:rsidP="00B04E3D">
            <w:pPr>
              <w:widowControl w:val="0"/>
              <w:spacing w:after="0"/>
              <w:ind w:left="0" w:firstLine="0"/>
              <w:jc w:val="left"/>
              <w:rPr>
                <w:rFonts w:eastAsia="SimSun"/>
                <w:color w:val="auto"/>
                <w:sz w:val="20"/>
                <w:szCs w:val="20"/>
                <w:lang w:eastAsia="en-US"/>
              </w:rPr>
            </w:pPr>
          </w:p>
        </w:tc>
        <w:tc>
          <w:tcPr>
            <w:tcW w:w="1008" w:type="dxa"/>
            <w:noWrap/>
            <w:vAlign w:val="bottom"/>
            <w:hideMark/>
          </w:tcPr>
          <w:p w14:paraId="56C08BAE"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33BB69CE"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37D6C446"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4534935C"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0D0619C6"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3E17833E"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c>
          <w:tcPr>
            <w:tcW w:w="1008" w:type="dxa"/>
            <w:noWrap/>
            <w:vAlign w:val="bottom"/>
            <w:hideMark/>
          </w:tcPr>
          <w:p w14:paraId="2712B1D9" w14:textId="77777777" w:rsidR="00B04E3D" w:rsidRPr="00B04E3D" w:rsidRDefault="00B04E3D" w:rsidP="00B04E3D">
            <w:pPr>
              <w:spacing w:after="0" w:line="256" w:lineRule="auto"/>
              <w:ind w:left="0" w:firstLine="0"/>
              <w:jc w:val="left"/>
              <w:rPr>
                <w:rFonts w:ascii="Calibri" w:eastAsia="Calibri" w:hAnsi="Calibri"/>
                <w:color w:val="auto"/>
                <w:sz w:val="20"/>
                <w:szCs w:val="20"/>
                <w:lang w:val="en-US" w:eastAsia="en-US"/>
              </w:rPr>
            </w:pPr>
          </w:p>
        </w:tc>
      </w:tr>
      <w:tr w:rsidR="00B04E3D" w:rsidRPr="00B04E3D" w14:paraId="72EA4333" w14:textId="77777777" w:rsidTr="00B773FA">
        <w:trPr>
          <w:trHeight w:val="255"/>
        </w:trPr>
        <w:tc>
          <w:tcPr>
            <w:tcW w:w="1440" w:type="dxa"/>
            <w:noWrap/>
            <w:vAlign w:val="bottom"/>
            <w:hideMark/>
          </w:tcPr>
          <w:p w14:paraId="3E51C9C8"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Crisis effect</w:t>
            </w:r>
          </w:p>
        </w:tc>
        <w:tc>
          <w:tcPr>
            <w:tcW w:w="1008" w:type="dxa"/>
            <w:noWrap/>
            <w:vAlign w:val="center"/>
            <w:hideMark/>
          </w:tcPr>
          <w:p w14:paraId="62B6C2A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1856D8C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56C684FC"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18E890B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2D0475CD"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1F28119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5F3798B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r>
      <w:tr w:rsidR="00B04E3D" w:rsidRPr="00B04E3D" w14:paraId="4352453E" w14:textId="77777777" w:rsidTr="00B773FA">
        <w:trPr>
          <w:trHeight w:val="255"/>
        </w:trPr>
        <w:tc>
          <w:tcPr>
            <w:tcW w:w="1440" w:type="dxa"/>
            <w:noWrap/>
            <w:vAlign w:val="bottom"/>
            <w:hideMark/>
          </w:tcPr>
          <w:p w14:paraId="2020E780"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Control for standard error</w:t>
            </w:r>
          </w:p>
        </w:tc>
        <w:tc>
          <w:tcPr>
            <w:tcW w:w="1008" w:type="dxa"/>
            <w:noWrap/>
            <w:vAlign w:val="center"/>
            <w:hideMark/>
          </w:tcPr>
          <w:p w14:paraId="295DE99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12D77318"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6E67116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031339F2"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13A29BE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6043E674"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c>
          <w:tcPr>
            <w:tcW w:w="1008" w:type="dxa"/>
            <w:noWrap/>
            <w:vAlign w:val="center"/>
            <w:hideMark/>
          </w:tcPr>
          <w:p w14:paraId="27ECD273"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Yes</w:t>
            </w:r>
          </w:p>
        </w:tc>
      </w:tr>
      <w:tr w:rsidR="00B04E3D" w:rsidRPr="00B04E3D" w14:paraId="282DAD7B" w14:textId="77777777" w:rsidTr="00B773FA">
        <w:trPr>
          <w:trHeight w:val="255"/>
        </w:trPr>
        <w:tc>
          <w:tcPr>
            <w:tcW w:w="1440" w:type="dxa"/>
            <w:noWrap/>
            <w:vAlign w:val="bottom"/>
            <w:hideMark/>
          </w:tcPr>
          <w:p w14:paraId="46372F98"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Observations</w:t>
            </w:r>
          </w:p>
        </w:tc>
        <w:tc>
          <w:tcPr>
            <w:tcW w:w="1008" w:type="dxa"/>
            <w:noWrap/>
            <w:vAlign w:val="center"/>
            <w:hideMark/>
          </w:tcPr>
          <w:p w14:paraId="4E29AC6A"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2FC84250"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30A4CEC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3D9E833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051C884F"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32A6026F"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c>
          <w:tcPr>
            <w:tcW w:w="1008" w:type="dxa"/>
            <w:noWrap/>
            <w:vAlign w:val="center"/>
            <w:hideMark/>
          </w:tcPr>
          <w:p w14:paraId="25B83DF5"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85</w:t>
            </w:r>
          </w:p>
        </w:tc>
      </w:tr>
      <w:tr w:rsidR="00B04E3D" w:rsidRPr="00B04E3D" w14:paraId="1B666C04" w14:textId="77777777" w:rsidTr="00B773FA">
        <w:trPr>
          <w:trHeight w:val="255"/>
        </w:trPr>
        <w:tc>
          <w:tcPr>
            <w:tcW w:w="1440" w:type="dxa"/>
            <w:tcBorders>
              <w:top w:val="nil"/>
              <w:left w:val="nil"/>
              <w:bottom w:val="single" w:sz="4" w:space="0" w:color="000000"/>
              <w:right w:val="nil"/>
            </w:tcBorders>
            <w:noWrap/>
            <w:vAlign w:val="bottom"/>
            <w:hideMark/>
          </w:tcPr>
          <w:p w14:paraId="7B651A7A" w14:textId="77777777" w:rsidR="00B04E3D" w:rsidRPr="00B04E3D" w:rsidRDefault="00B04E3D" w:rsidP="00B04E3D">
            <w:pPr>
              <w:spacing w:after="0" w:line="256" w:lineRule="auto"/>
              <w:ind w:left="0" w:firstLine="0"/>
              <w:jc w:val="left"/>
              <w:rPr>
                <w:color w:val="auto"/>
                <w:sz w:val="20"/>
                <w:szCs w:val="20"/>
                <w:lang w:val="en-US" w:eastAsia="en-US"/>
              </w:rPr>
            </w:pPr>
            <w:r w:rsidRPr="00B04E3D">
              <w:rPr>
                <w:color w:val="auto"/>
                <w:sz w:val="20"/>
                <w:szCs w:val="20"/>
                <w:lang w:val="en-US" w:eastAsia="en-US"/>
              </w:rPr>
              <w:t>Number of firms</w:t>
            </w:r>
          </w:p>
        </w:tc>
        <w:tc>
          <w:tcPr>
            <w:tcW w:w="1008" w:type="dxa"/>
            <w:tcBorders>
              <w:top w:val="nil"/>
              <w:left w:val="nil"/>
              <w:bottom w:val="single" w:sz="4" w:space="0" w:color="000000"/>
              <w:right w:val="nil"/>
            </w:tcBorders>
            <w:noWrap/>
            <w:vAlign w:val="center"/>
            <w:hideMark/>
          </w:tcPr>
          <w:p w14:paraId="70B5AF8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051AEB5E"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74C4203B"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23156249"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06683EE6"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6841AFC1"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c>
          <w:tcPr>
            <w:tcW w:w="1008" w:type="dxa"/>
            <w:tcBorders>
              <w:top w:val="nil"/>
              <w:left w:val="nil"/>
              <w:bottom w:val="single" w:sz="4" w:space="0" w:color="000000"/>
              <w:right w:val="nil"/>
            </w:tcBorders>
            <w:noWrap/>
            <w:vAlign w:val="center"/>
            <w:hideMark/>
          </w:tcPr>
          <w:p w14:paraId="3B0073C7" w14:textId="77777777" w:rsidR="00B04E3D" w:rsidRPr="00B04E3D" w:rsidRDefault="00B04E3D" w:rsidP="00B04E3D">
            <w:pPr>
              <w:spacing w:after="0" w:line="256" w:lineRule="auto"/>
              <w:ind w:left="-144" w:right="-144" w:firstLine="0"/>
              <w:jc w:val="center"/>
              <w:rPr>
                <w:color w:val="auto"/>
                <w:sz w:val="20"/>
                <w:szCs w:val="20"/>
                <w:lang w:val="en-US" w:eastAsia="en-US"/>
              </w:rPr>
            </w:pPr>
            <w:r w:rsidRPr="00B04E3D">
              <w:rPr>
                <w:color w:val="auto"/>
                <w:sz w:val="20"/>
                <w:szCs w:val="20"/>
                <w:lang w:val="en-US" w:eastAsia="en-US"/>
              </w:rPr>
              <w:t>17</w:t>
            </w:r>
          </w:p>
        </w:tc>
      </w:tr>
      <w:tr w:rsidR="00B04E3D" w:rsidRPr="00B04E3D" w14:paraId="2081C0F5" w14:textId="77777777" w:rsidTr="00B773FA">
        <w:trPr>
          <w:trHeight w:val="255"/>
        </w:trPr>
        <w:tc>
          <w:tcPr>
            <w:tcW w:w="8496" w:type="dxa"/>
            <w:gridSpan w:val="8"/>
            <w:noWrap/>
            <w:vAlign w:val="bottom"/>
            <w:hideMark/>
          </w:tcPr>
          <w:p w14:paraId="434A9D4F" w14:textId="77777777" w:rsidR="00B04E3D" w:rsidRPr="00B04E3D" w:rsidRDefault="00B04E3D" w:rsidP="00B04E3D">
            <w:pPr>
              <w:spacing w:after="0" w:line="256" w:lineRule="auto"/>
              <w:ind w:left="0" w:firstLine="0"/>
              <w:rPr>
                <w:color w:val="auto"/>
                <w:sz w:val="18"/>
                <w:szCs w:val="18"/>
                <w:lang w:val="en-US" w:eastAsia="en-US"/>
              </w:rPr>
            </w:pPr>
            <w:r w:rsidRPr="00B04E3D">
              <w:rPr>
                <w:color w:val="auto"/>
                <w:sz w:val="18"/>
                <w:szCs w:val="18"/>
                <w:lang w:val="en-US" w:eastAsia="en-US"/>
              </w:rPr>
              <w:t xml:space="preserve">Notes: The number in brackets is the robust standard error. </w:t>
            </w:r>
            <w:proofErr w:type="spellStart"/>
            <w:r w:rsidRPr="00B04E3D">
              <w:rPr>
                <w:color w:val="auto"/>
                <w:sz w:val="18"/>
                <w:szCs w:val="18"/>
                <w:lang w:val="en-US" w:eastAsia="en-US"/>
              </w:rPr>
              <w:t>Accentric</w:t>
            </w:r>
            <w:proofErr w:type="spellEnd"/>
            <w:r w:rsidRPr="00B04E3D">
              <w:rPr>
                <w:color w:val="auto"/>
                <w:sz w:val="18"/>
                <w:szCs w:val="18"/>
                <w:lang w:val="en-US" w:eastAsia="en-US"/>
              </w:rPr>
              <w:t xml:space="preserve"> symbols ***, **, and * are significant at the 0.01, 0.05, and 0.1 levels.</w:t>
            </w:r>
          </w:p>
        </w:tc>
      </w:tr>
    </w:tbl>
    <w:p w14:paraId="150BB3F0" w14:textId="77777777" w:rsidR="00B04E3D" w:rsidRPr="00B04E3D" w:rsidRDefault="00B04E3D" w:rsidP="00B04E3D">
      <w:pPr>
        <w:rPr>
          <w:lang w:val="id-ID"/>
        </w:rPr>
      </w:pPr>
    </w:p>
    <w:p w14:paraId="7F686E24" w14:textId="64565E33" w:rsidR="005B7589" w:rsidRDefault="005B7589" w:rsidP="00A61E4A"/>
    <w:p w14:paraId="6068C5EF" w14:textId="2E7E41E2" w:rsidR="005B7589" w:rsidRDefault="005B7589" w:rsidP="00A61E4A"/>
    <w:p w14:paraId="3CB24FB2" w14:textId="1FA83C47" w:rsidR="005B7589" w:rsidRDefault="005B7589" w:rsidP="00A61E4A"/>
    <w:p w14:paraId="141D36C1" w14:textId="77777777" w:rsidR="005B7589" w:rsidRDefault="005B7589" w:rsidP="00A61E4A"/>
    <w:p w14:paraId="2E156D2B" w14:textId="77777777" w:rsidR="00BC1BB6" w:rsidRDefault="00BC1BB6" w:rsidP="00BC1BB6">
      <w:pPr>
        <w:jc w:val="center"/>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525697E4" w14:textId="77777777" w:rsidR="00B04E3D" w:rsidRDefault="00B04E3D" w:rsidP="00B04E3D">
      <w:pPr>
        <w:spacing w:line="276" w:lineRule="auto"/>
        <w:rPr>
          <w:lang w:val="en-US" w:eastAsia="id-ID"/>
        </w:rPr>
      </w:pPr>
      <w:r w:rsidRPr="00641E9E">
        <w:rPr>
          <w:lang w:val="en-US" w:eastAsia="id-ID"/>
        </w:rPr>
        <w:t xml:space="preserve">By using robust panel regression, this study discusses the role of funding decisions, dividend policy, and firm value in normal periods and when </w:t>
      </w:r>
      <w:r>
        <w:rPr>
          <w:lang w:val="en-US" w:eastAsia="id-ID"/>
        </w:rPr>
        <w:t>firm</w:t>
      </w:r>
      <w:r w:rsidRPr="00641E9E">
        <w:rPr>
          <w:lang w:val="en-US" w:eastAsia="id-ID"/>
        </w:rPr>
        <w:t xml:space="preserve">s face difficult times. There are at least </w:t>
      </w:r>
      <w:r>
        <w:rPr>
          <w:lang w:val="en-US" w:eastAsia="id-ID"/>
        </w:rPr>
        <w:t>three</w:t>
      </w:r>
      <w:r w:rsidRPr="00641E9E">
        <w:rPr>
          <w:lang w:val="en-US" w:eastAsia="id-ID"/>
        </w:rPr>
        <w:t xml:space="preserve"> </w:t>
      </w:r>
      <w:r>
        <w:rPr>
          <w:lang w:val="en-US" w:eastAsia="id-ID"/>
        </w:rPr>
        <w:t>essential</w:t>
      </w:r>
      <w:r w:rsidRPr="00641E9E">
        <w:rPr>
          <w:lang w:val="en-US" w:eastAsia="id-ID"/>
        </w:rPr>
        <w:t xml:space="preserve"> pieces of evidence in this study. </w:t>
      </w:r>
      <w:r w:rsidRPr="00641E9E">
        <w:rPr>
          <w:i/>
          <w:iCs/>
          <w:lang w:val="en-US" w:eastAsia="id-ID"/>
        </w:rPr>
        <w:t>First</w:t>
      </w:r>
      <w:r w:rsidRPr="00641E9E">
        <w:rPr>
          <w:lang w:val="en-US" w:eastAsia="id-ID"/>
        </w:rPr>
        <w:t xml:space="preserve">, </w:t>
      </w:r>
      <w:r>
        <w:rPr>
          <w:lang w:val="en-US" w:eastAsia="id-ID"/>
        </w:rPr>
        <w:t>firm</w:t>
      </w:r>
      <w:r w:rsidRPr="00AB1318">
        <w:rPr>
          <w:lang w:val="en-US" w:eastAsia="id-ID"/>
        </w:rPr>
        <w:t xml:space="preserve">s </w:t>
      </w:r>
      <w:r>
        <w:rPr>
          <w:lang w:val="en-US" w:eastAsia="id-ID"/>
        </w:rPr>
        <w:t>with</w:t>
      </w:r>
      <w:r w:rsidRPr="00AB1318">
        <w:rPr>
          <w:lang w:val="en-US" w:eastAsia="id-ID"/>
        </w:rPr>
        <w:t xml:space="preserve"> a higher debt portion will </w:t>
      </w:r>
      <w:r>
        <w:rPr>
          <w:lang w:val="en-US" w:eastAsia="id-ID"/>
        </w:rPr>
        <w:t>adjust</w:t>
      </w:r>
      <w:r w:rsidRPr="00AB1318">
        <w:rPr>
          <w:lang w:val="en-US" w:eastAsia="id-ID"/>
        </w:rPr>
        <w:t xml:space="preserve"> by making lower cash dividend payments.</w:t>
      </w:r>
      <w:r>
        <w:rPr>
          <w:lang w:val="en-US" w:eastAsia="id-ID"/>
        </w:rPr>
        <w:t xml:space="preserve"> A</w:t>
      </w:r>
      <w:r w:rsidRPr="00AB1318">
        <w:rPr>
          <w:lang w:val="en-US" w:eastAsia="id-ID"/>
        </w:rPr>
        <w:t xml:space="preserve">lthough </w:t>
      </w:r>
      <w:r>
        <w:rPr>
          <w:lang w:val="en-US" w:eastAsia="id-ID"/>
        </w:rPr>
        <w:t>the firm routinely makes dividend payments</w:t>
      </w:r>
      <w:r w:rsidRPr="00AB1318">
        <w:rPr>
          <w:lang w:val="en-US" w:eastAsia="id-ID"/>
        </w:rPr>
        <w:t xml:space="preserve">, the determination of the amount of cash dividends will be adjusted to the risk of using debt. </w:t>
      </w:r>
      <w:r w:rsidRPr="00641E9E">
        <w:rPr>
          <w:i/>
          <w:iCs/>
          <w:lang w:val="en-US" w:eastAsia="id-ID"/>
        </w:rPr>
        <w:t>Second</w:t>
      </w:r>
      <w:r w:rsidRPr="00641E9E">
        <w:rPr>
          <w:lang w:val="en-US" w:eastAsia="id-ID"/>
        </w:rPr>
        <w:t xml:space="preserve">, </w:t>
      </w:r>
      <w:r w:rsidRPr="00AB1318">
        <w:rPr>
          <w:lang w:val="en-US" w:eastAsia="id-ID"/>
        </w:rPr>
        <w:t>this study fails to prove the role of the use of debt in increasing firm value. Like two sides of a coin, the benefits</w:t>
      </w:r>
      <w:r>
        <w:rPr>
          <w:lang w:val="en-US" w:eastAsia="id-ID"/>
        </w:rPr>
        <w:t xml:space="preserve"> and risks of using debt can be </w:t>
      </w:r>
      <w:proofErr w:type="gramStart"/>
      <w:r>
        <w:rPr>
          <w:lang w:val="en-US" w:eastAsia="id-ID"/>
        </w:rPr>
        <w:t>a logic</w:t>
      </w:r>
      <w:proofErr w:type="gramEnd"/>
      <w:r>
        <w:rPr>
          <w:lang w:val="en-US" w:eastAsia="id-ID"/>
        </w:rPr>
        <w:t xml:space="preserve"> that debt has no role</w:t>
      </w:r>
      <w:r w:rsidRPr="00AB1318">
        <w:rPr>
          <w:lang w:val="en-US" w:eastAsia="id-ID"/>
        </w:rPr>
        <w:t xml:space="preserve"> in shaping public perceptions in assessing </w:t>
      </w:r>
      <w:r>
        <w:rPr>
          <w:lang w:val="en-US" w:eastAsia="id-ID"/>
        </w:rPr>
        <w:t>firm</w:t>
      </w:r>
      <w:r w:rsidRPr="00AB1318">
        <w:rPr>
          <w:lang w:val="en-US" w:eastAsia="id-ID"/>
        </w:rPr>
        <w:t>s.</w:t>
      </w:r>
      <w:r>
        <w:rPr>
          <w:lang w:val="en-US" w:eastAsia="id-ID"/>
        </w:rPr>
        <w:t xml:space="preserve"> </w:t>
      </w:r>
      <w:r w:rsidRPr="007B154C">
        <w:rPr>
          <w:i/>
          <w:iCs/>
          <w:lang w:val="en-US" w:eastAsia="id-ID"/>
        </w:rPr>
        <w:t>Third</w:t>
      </w:r>
      <w:r w:rsidRPr="007B154C">
        <w:rPr>
          <w:lang w:val="en-US" w:eastAsia="id-ID"/>
        </w:rPr>
        <w:t xml:space="preserve">, the </w:t>
      </w:r>
      <w:r>
        <w:rPr>
          <w:lang w:val="en-US" w:eastAsia="id-ID"/>
        </w:rPr>
        <w:t>study results</w:t>
      </w:r>
      <w:r w:rsidRPr="007B154C">
        <w:rPr>
          <w:lang w:val="en-US" w:eastAsia="id-ID"/>
        </w:rPr>
        <w:t xml:space="preserve"> confirm the bird</w:t>
      </w:r>
      <w:r>
        <w:rPr>
          <w:lang w:val="en-US" w:eastAsia="id-ID"/>
        </w:rPr>
        <w:t>-</w:t>
      </w:r>
      <w:r w:rsidRPr="007B154C">
        <w:rPr>
          <w:lang w:val="en-US" w:eastAsia="id-ID"/>
        </w:rPr>
        <w:t>in</w:t>
      </w:r>
      <w:r>
        <w:rPr>
          <w:lang w:val="en-US" w:eastAsia="id-ID"/>
        </w:rPr>
        <w:t>-</w:t>
      </w:r>
      <w:r w:rsidRPr="007B154C">
        <w:rPr>
          <w:lang w:val="en-US" w:eastAsia="id-ID"/>
        </w:rPr>
        <w:t>the</w:t>
      </w:r>
      <w:r>
        <w:rPr>
          <w:lang w:val="en-US" w:eastAsia="id-ID"/>
        </w:rPr>
        <w:t>-</w:t>
      </w:r>
      <w:r w:rsidRPr="007B154C">
        <w:rPr>
          <w:lang w:val="en-US" w:eastAsia="id-ID"/>
        </w:rPr>
        <w:t xml:space="preserve">hand theory and the importance of signaling to the public (signaling theory) because all </w:t>
      </w:r>
      <w:r>
        <w:rPr>
          <w:lang w:val="en-US" w:eastAsia="id-ID"/>
        </w:rPr>
        <w:t>firm</w:t>
      </w:r>
      <w:r w:rsidRPr="007B154C">
        <w:rPr>
          <w:lang w:val="en-US" w:eastAsia="id-ID"/>
        </w:rPr>
        <w:t xml:space="preserve">s </w:t>
      </w:r>
      <w:r>
        <w:rPr>
          <w:lang w:val="en-US" w:eastAsia="id-ID"/>
        </w:rPr>
        <w:t>face</w:t>
      </w:r>
      <w:r w:rsidRPr="007B154C">
        <w:rPr>
          <w:lang w:val="en-US" w:eastAsia="id-ID"/>
        </w:rPr>
        <w:t xml:space="preserve"> information inequality. </w:t>
      </w:r>
      <w:r>
        <w:rPr>
          <w:lang w:val="en-US" w:eastAsia="id-ID"/>
        </w:rPr>
        <w:t>Firm</w:t>
      </w:r>
      <w:r w:rsidRPr="007B154C">
        <w:rPr>
          <w:lang w:val="en-US" w:eastAsia="id-ID"/>
        </w:rPr>
        <w:t xml:space="preserve">s with good financial performance can signal to the public through dividend policy because it can improve the </w:t>
      </w:r>
      <w:r>
        <w:rPr>
          <w:lang w:val="en-US" w:eastAsia="id-ID"/>
        </w:rPr>
        <w:t>firm</w:t>
      </w:r>
      <w:r w:rsidRPr="007B154C">
        <w:rPr>
          <w:lang w:val="en-US" w:eastAsia="id-ID"/>
        </w:rPr>
        <w:t>'s image.</w:t>
      </w:r>
    </w:p>
    <w:p w14:paraId="5F0DF1A6" w14:textId="77777777" w:rsidR="00B04E3D" w:rsidRDefault="00B04E3D" w:rsidP="00B04E3D">
      <w:pPr>
        <w:spacing w:line="276" w:lineRule="auto"/>
        <w:rPr>
          <w:lang w:val="en-US" w:eastAsia="id-ID"/>
        </w:rPr>
      </w:pPr>
      <w:r w:rsidRPr="00641E9E">
        <w:rPr>
          <w:lang w:val="en-US" w:eastAsia="id-ID"/>
        </w:rPr>
        <w:t>These results have implications for academics, managers</w:t>
      </w:r>
      <w:r>
        <w:rPr>
          <w:lang w:val="en-US" w:eastAsia="id-ID"/>
        </w:rPr>
        <w:t>,</w:t>
      </w:r>
      <w:r w:rsidRPr="00641E9E">
        <w:rPr>
          <w:lang w:val="en-US" w:eastAsia="id-ID"/>
        </w:rPr>
        <w:t xml:space="preserve"> and regulators. </w:t>
      </w:r>
      <w:r w:rsidRPr="00B87489">
        <w:rPr>
          <w:lang w:val="en-US" w:eastAsia="id-ID"/>
        </w:rPr>
        <w:t>Although no significant impact was found between leverage and firm value,</w:t>
      </w:r>
      <w:r w:rsidRPr="00641E9E">
        <w:rPr>
          <w:lang w:val="en-US" w:eastAsia="id-ID"/>
        </w:rPr>
        <w:t xml:space="preserve"> </w:t>
      </w:r>
      <w:r>
        <w:rPr>
          <w:lang w:val="en-US" w:eastAsia="id-ID"/>
        </w:rPr>
        <w:t xml:space="preserve">it </w:t>
      </w:r>
      <w:r w:rsidRPr="00641E9E">
        <w:rPr>
          <w:lang w:val="en-US" w:eastAsia="id-ID"/>
        </w:rPr>
        <w:t xml:space="preserve">does not mean the </w:t>
      </w:r>
      <w:r>
        <w:rPr>
          <w:lang w:val="en-US" w:eastAsia="id-ID"/>
        </w:rPr>
        <w:t>firm</w:t>
      </w:r>
      <w:r w:rsidRPr="00641E9E">
        <w:rPr>
          <w:lang w:val="en-US" w:eastAsia="id-ID"/>
        </w:rPr>
        <w:t xml:space="preserve"> can ignore this crucial issue related to funding decisions.</w:t>
      </w:r>
      <w:r>
        <w:rPr>
          <w:lang w:val="en-US" w:eastAsia="id-ID"/>
        </w:rPr>
        <w:t xml:space="preserve"> </w:t>
      </w:r>
      <w:r w:rsidRPr="0081287D">
        <w:rPr>
          <w:lang w:val="en-US" w:eastAsia="id-ID"/>
        </w:rPr>
        <w:lastRenderedPageBreak/>
        <w:t xml:space="preserve">This study has implications for managerial parties that debt management in optimal conditions is needed to ensure stable financial performance to enable </w:t>
      </w:r>
      <w:r>
        <w:rPr>
          <w:lang w:val="en-US" w:eastAsia="id-ID"/>
        </w:rPr>
        <w:t>firm</w:t>
      </w:r>
      <w:r w:rsidRPr="0081287D">
        <w:rPr>
          <w:lang w:val="en-US" w:eastAsia="id-ID"/>
        </w:rPr>
        <w:t xml:space="preserve">s to give signals to the public through dividend policy. </w:t>
      </w:r>
      <w:r>
        <w:rPr>
          <w:lang w:val="en-US" w:eastAsia="id-ID"/>
        </w:rPr>
        <w:t>Firm</w:t>
      </w:r>
      <w:r w:rsidRPr="0081287D">
        <w:rPr>
          <w:lang w:val="en-US" w:eastAsia="id-ID"/>
        </w:rPr>
        <w:t xml:space="preserve">s with financial difficulties do not need to force themselves to pay dividends, considering this will worsen the </w:t>
      </w:r>
      <w:r>
        <w:rPr>
          <w:lang w:val="en-US" w:eastAsia="id-ID"/>
        </w:rPr>
        <w:t>firm</w:t>
      </w:r>
      <w:r w:rsidRPr="0081287D">
        <w:rPr>
          <w:lang w:val="en-US" w:eastAsia="id-ID"/>
        </w:rPr>
        <w:t xml:space="preserve">'s </w:t>
      </w:r>
      <w:r>
        <w:rPr>
          <w:lang w:val="en-US" w:eastAsia="id-ID"/>
        </w:rPr>
        <w:t>value</w:t>
      </w:r>
      <w:r w:rsidRPr="0081287D">
        <w:rPr>
          <w:lang w:val="en-US" w:eastAsia="id-ID"/>
        </w:rPr>
        <w:t>.</w:t>
      </w:r>
      <w:r w:rsidRPr="00641E9E">
        <w:rPr>
          <w:lang w:val="en-US" w:eastAsia="id-ID"/>
        </w:rPr>
        <w:t xml:space="preserve"> For the government as a policymaker, it is necessary to have economic stability and clear regulations to ensure business conduciveness and public confidence in the signals given by </w:t>
      </w:r>
      <w:r>
        <w:rPr>
          <w:lang w:val="en-US" w:eastAsia="id-ID"/>
        </w:rPr>
        <w:t>firm</w:t>
      </w:r>
      <w:r w:rsidRPr="00641E9E">
        <w:rPr>
          <w:lang w:val="en-US" w:eastAsia="id-ID"/>
        </w:rPr>
        <w:t xml:space="preserve">s. It is </w:t>
      </w:r>
      <w:r>
        <w:rPr>
          <w:lang w:val="en-US" w:eastAsia="id-ID"/>
        </w:rPr>
        <w:t>essential</w:t>
      </w:r>
      <w:r w:rsidRPr="00641E9E">
        <w:rPr>
          <w:lang w:val="en-US" w:eastAsia="id-ID"/>
        </w:rPr>
        <w:t xml:space="preserve"> to maintain a </w:t>
      </w:r>
      <w:proofErr w:type="gramStart"/>
      <w:r w:rsidRPr="00641E9E">
        <w:rPr>
          <w:lang w:val="en-US" w:eastAsia="id-ID"/>
        </w:rPr>
        <w:t>conducive</w:t>
      </w:r>
      <w:proofErr w:type="gramEnd"/>
      <w:r w:rsidRPr="00641E9E">
        <w:rPr>
          <w:lang w:val="en-US" w:eastAsia="id-ID"/>
        </w:rPr>
        <w:t xml:space="preserve"> climate, especially in the aftermath of a back-to-business business condition.</w:t>
      </w:r>
    </w:p>
    <w:p w14:paraId="52AB3EAE" w14:textId="34FC55C1" w:rsidR="00764018" w:rsidRPr="00DA7E96" w:rsidRDefault="00B04E3D" w:rsidP="00B04E3D">
      <w:r w:rsidRPr="00641E9E">
        <w:rPr>
          <w:lang w:val="en-US" w:eastAsia="id-ID"/>
        </w:rPr>
        <w:t>Finally, this research is not without its limitations.</w:t>
      </w:r>
      <w:r>
        <w:rPr>
          <w:lang w:val="en-US" w:eastAsia="id-ID"/>
        </w:rPr>
        <w:t xml:space="preserve"> </w:t>
      </w:r>
      <w:r w:rsidRPr="00641E9E">
        <w:rPr>
          <w:lang w:val="en-US" w:eastAsia="id-ID"/>
        </w:rPr>
        <w:t xml:space="preserve">The results of this study open up opportunities for academics to conduct further </w:t>
      </w:r>
      <w:r>
        <w:rPr>
          <w:lang w:val="en-US" w:eastAsia="id-ID"/>
        </w:rPr>
        <w:t>investigation</w:t>
      </w:r>
      <w:r w:rsidRPr="00641E9E">
        <w:rPr>
          <w:lang w:val="en-US" w:eastAsia="id-ID"/>
        </w:rPr>
        <w:t>s with the consideration of giving signals that are not only in the form of dividend policy.</w:t>
      </w:r>
      <w:r>
        <w:rPr>
          <w:lang w:val="en-US" w:eastAsia="id-ID"/>
        </w:rPr>
        <w:t xml:space="preserve"> </w:t>
      </w:r>
      <w:r w:rsidRPr="0033608B">
        <w:rPr>
          <w:lang w:val="en-US" w:eastAsia="id-ID"/>
        </w:rPr>
        <w:t>In today's world of information disclosure, i</w:t>
      </w:r>
      <w:r>
        <w:rPr>
          <w:lang w:val="en-US" w:eastAsia="id-ID"/>
        </w:rPr>
        <w:t>nformation can</w:t>
      </w:r>
      <w:r w:rsidRPr="0033608B">
        <w:rPr>
          <w:lang w:val="en-US" w:eastAsia="id-ID"/>
        </w:rPr>
        <w:t xml:space="preserve"> spread easily, which can be a consideration for the next study.</w:t>
      </w:r>
      <w:r w:rsidRPr="00641E9E">
        <w:rPr>
          <w:lang w:val="en-US" w:eastAsia="id-ID"/>
        </w:rPr>
        <w:t xml:space="preserve"> </w:t>
      </w:r>
      <w:r w:rsidR="00764018" w:rsidRPr="00DA7E96">
        <w:br w:type="page"/>
      </w:r>
    </w:p>
    <w:p w14:paraId="62F03B99" w14:textId="77777777" w:rsidR="00140C10" w:rsidRPr="00523BC9" w:rsidRDefault="00140C10" w:rsidP="00523BC9"/>
    <w:p w14:paraId="52AB3ED3" w14:textId="77777777" w:rsidR="001368D6" w:rsidRPr="00DB67F8" w:rsidRDefault="001368D6" w:rsidP="001368D6">
      <w:pPr>
        <w:pStyle w:val="Heading1"/>
      </w:pPr>
      <w:r w:rsidRPr="00DB67F8">
        <w:t>References</w:t>
      </w:r>
    </w:p>
    <w:p w14:paraId="21DCC412" w14:textId="77777777" w:rsidR="00B04E3D" w:rsidRPr="006A7D02" w:rsidRDefault="00B04E3D" w:rsidP="00B04E3D">
      <w:pPr>
        <w:pStyle w:val="EndNoteBibliography"/>
        <w:ind w:left="720" w:hanging="720"/>
      </w:pPr>
      <w:r>
        <w:rPr>
          <w:rFonts w:eastAsia="Times New Roman"/>
          <w:lang w:eastAsia="id-ID"/>
        </w:rPr>
        <w:fldChar w:fldCharType="begin"/>
      </w:r>
      <w:r>
        <w:rPr>
          <w:rFonts w:eastAsia="Times New Roman"/>
          <w:lang w:eastAsia="id-ID"/>
        </w:rPr>
        <w:instrText xml:space="preserve"> ADDIN EN.REFLIST </w:instrText>
      </w:r>
      <w:r>
        <w:rPr>
          <w:rFonts w:eastAsia="Times New Roman"/>
          <w:lang w:eastAsia="id-ID"/>
        </w:rPr>
        <w:fldChar w:fldCharType="separate"/>
      </w:r>
      <w:r w:rsidRPr="006A7D02">
        <w:t xml:space="preserve">Akerlof, G. A. (1970). The Market for "Lemons": Quality Uncertainty and the Market Mechanism. </w:t>
      </w:r>
      <w:r w:rsidRPr="006A7D02">
        <w:rPr>
          <w:i/>
        </w:rPr>
        <w:t>The Quarterly Journal of Economics, 84</w:t>
      </w:r>
      <w:r w:rsidRPr="006A7D02">
        <w:t>(3), 488-500. doi:10.2307/1879431</w:t>
      </w:r>
    </w:p>
    <w:p w14:paraId="2D5AA003" w14:textId="77777777" w:rsidR="00B04E3D" w:rsidRPr="006A7D02" w:rsidRDefault="00B04E3D" w:rsidP="00B04E3D">
      <w:pPr>
        <w:pStyle w:val="EndNoteBibliography"/>
        <w:ind w:left="720" w:hanging="720"/>
      </w:pPr>
      <w:r w:rsidRPr="006A7D02">
        <w:t xml:space="preserve">Bahraini, S., Endri, E., Santoso, S., Hartati, L., &amp; Pramudena, S. M. (2021). Determinants of Firm Value: A Case Study of </w:t>
      </w:r>
      <w:r>
        <w:t>t</w:t>
      </w:r>
      <w:r w:rsidRPr="006A7D02">
        <w:t xml:space="preserve">he Food and Beverage Sector of Indonesia. </w:t>
      </w:r>
      <w:r w:rsidRPr="006A7D02">
        <w:rPr>
          <w:i/>
        </w:rPr>
        <w:t>Journal of Asian Finance, Economics, and Business, 8</w:t>
      </w:r>
      <w:r w:rsidRPr="006A7D02">
        <w:t>(6), 839-847. doi:10.13106/jafeb.2021.vol8.no6.0839</w:t>
      </w:r>
    </w:p>
    <w:p w14:paraId="08B952C8" w14:textId="77777777" w:rsidR="00B04E3D" w:rsidRPr="006A7D02" w:rsidRDefault="00B04E3D" w:rsidP="00B04E3D">
      <w:pPr>
        <w:pStyle w:val="EndNoteBibliography"/>
        <w:ind w:left="720" w:hanging="720"/>
      </w:pPr>
      <w:r w:rsidRPr="006A7D02">
        <w:t xml:space="preserve">Doorasamy, M. (2021). Capital Structure, Firm Value and Managerial Ownership: Evidence from East African Countries. </w:t>
      </w:r>
      <w:r w:rsidRPr="006A7D02">
        <w:rPr>
          <w:i/>
        </w:rPr>
        <w:t>Investment Management and Financial Innovations, 18</w:t>
      </w:r>
      <w:r w:rsidRPr="006A7D02">
        <w:t>(1), 346-356. doi:10.21511/imfi.18(1).2021.28</w:t>
      </w:r>
    </w:p>
    <w:p w14:paraId="48A98544" w14:textId="77777777" w:rsidR="00B04E3D" w:rsidRPr="006A7D02" w:rsidRDefault="00B04E3D" w:rsidP="00B04E3D">
      <w:pPr>
        <w:pStyle w:val="EndNoteBibliography"/>
        <w:ind w:left="720" w:hanging="720"/>
      </w:pPr>
      <w:r w:rsidRPr="006A7D02">
        <w:t xml:space="preserve">Eisenhardt, K. M. (1989). Agency Theory: An Assessment and Review. </w:t>
      </w:r>
      <w:r w:rsidRPr="006A7D02">
        <w:rPr>
          <w:i/>
        </w:rPr>
        <w:t>The Academy of Management Review, 14</w:t>
      </w:r>
      <w:r w:rsidRPr="006A7D02">
        <w:t>(1), 57-74. doi:10.2307/258191</w:t>
      </w:r>
    </w:p>
    <w:p w14:paraId="2A6A6DE7" w14:textId="77777777" w:rsidR="00B04E3D" w:rsidRPr="006A7D02" w:rsidRDefault="00B04E3D" w:rsidP="00B04E3D">
      <w:pPr>
        <w:pStyle w:val="EndNoteBibliography"/>
        <w:ind w:left="720" w:hanging="720"/>
      </w:pPr>
      <w:r w:rsidRPr="006A7D02">
        <w:t xml:space="preserve">Fama, E. F., &amp; Jensen, M. C. (1983). Agency Problems and Residual Claims. </w:t>
      </w:r>
      <w:r w:rsidRPr="006A7D02">
        <w:rPr>
          <w:i/>
        </w:rPr>
        <w:t>Journal of Law &amp; Economics, 26</w:t>
      </w:r>
      <w:r w:rsidRPr="006A7D02">
        <w:t>(2), 327-349. doi:10.1086/467038</w:t>
      </w:r>
    </w:p>
    <w:p w14:paraId="5006F57C" w14:textId="77777777" w:rsidR="00B04E3D" w:rsidRPr="006A7D02" w:rsidRDefault="00B04E3D" w:rsidP="00B04E3D">
      <w:pPr>
        <w:pStyle w:val="EndNoteBibliography"/>
        <w:ind w:left="720" w:hanging="720"/>
      </w:pPr>
      <w:r w:rsidRPr="006A7D02">
        <w:t xml:space="preserve">Friedman, M. (1962). </w:t>
      </w:r>
      <w:r w:rsidRPr="006A7D02">
        <w:rPr>
          <w:i/>
        </w:rPr>
        <w:t>Capitalism and Freedom</w:t>
      </w:r>
      <w:r w:rsidRPr="006A7D02">
        <w:t>. Chicago: The University of Chicago Press.</w:t>
      </w:r>
    </w:p>
    <w:p w14:paraId="36046339" w14:textId="77777777" w:rsidR="00B04E3D" w:rsidRPr="006A7D02" w:rsidRDefault="00B04E3D" w:rsidP="00B04E3D">
      <w:pPr>
        <w:pStyle w:val="EndNoteBibliography"/>
        <w:ind w:left="720" w:hanging="720"/>
      </w:pPr>
      <w:r w:rsidRPr="006A7D02">
        <w:t xml:space="preserve">Ganguli, S. K. (2013). Capital Structure: Does Ownership Structure Matter? Theory and Indian Evidence. </w:t>
      </w:r>
      <w:r w:rsidRPr="006A7D02">
        <w:rPr>
          <w:i/>
        </w:rPr>
        <w:t>Studies in Economics and Finance, 30</w:t>
      </w:r>
      <w:r w:rsidRPr="006A7D02">
        <w:t>(1), 56-72. doi:10.1108/10867371311300982</w:t>
      </w:r>
    </w:p>
    <w:p w14:paraId="615F5EFE" w14:textId="77777777" w:rsidR="00B04E3D" w:rsidRPr="006A7D02" w:rsidRDefault="00B04E3D" w:rsidP="00B04E3D">
      <w:pPr>
        <w:pStyle w:val="EndNoteBibliography"/>
        <w:ind w:left="720" w:hanging="720"/>
      </w:pPr>
      <w:r w:rsidRPr="006A7D02">
        <w:t xml:space="preserve">Gordon, M. J. (1959). Dividends, Earnings, and Stock Prices. </w:t>
      </w:r>
      <w:r w:rsidRPr="006A7D02">
        <w:rPr>
          <w:i/>
        </w:rPr>
        <w:t>The Review of Economics and Statistics, 41</w:t>
      </w:r>
      <w:r w:rsidRPr="006A7D02">
        <w:t>(2), 99-205. doi:10.2307/1927792</w:t>
      </w:r>
    </w:p>
    <w:p w14:paraId="22CC1596" w14:textId="77777777" w:rsidR="00B04E3D" w:rsidRPr="006A7D02" w:rsidRDefault="00B04E3D" w:rsidP="00B04E3D">
      <w:pPr>
        <w:pStyle w:val="EndNoteBibliography"/>
        <w:ind w:left="720" w:hanging="720"/>
      </w:pPr>
      <w:r w:rsidRPr="006A7D02">
        <w:t xml:space="preserve">Jensen, M. C., &amp; Meckling, W. H. (1976). Theory of the Firm: Managerial Behavior, Agency Costs, and Ownership Structure. </w:t>
      </w:r>
      <w:r w:rsidRPr="006A7D02">
        <w:rPr>
          <w:i/>
        </w:rPr>
        <w:t>Journal of Financial Economics, 3</w:t>
      </w:r>
      <w:r w:rsidRPr="006A7D02">
        <w:t>, 305-360. doi:10.1016/0304-405X(76)90026-X</w:t>
      </w:r>
    </w:p>
    <w:p w14:paraId="0A64D0C5" w14:textId="77777777" w:rsidR="00B04E3D" w:rsidRPr="006A7D02" w:rsidRDefault="00B04E3D" w:rsidP="00B04E3D">
      <w:pPr>
        <w:pStyle w:val="EndNoteBibliography"/>
        <w:ind w:left="720" w:hanging="720"/>
      </w:pPr>
      <w:r w:rsidRPr="006A7D02">
        <w:t xml:space="preserve">Jozwiak, B. K. (2015). Determinants of Dividend Policy: Evidence from Polish Listed Companies. </w:t>
      </w:r>
      <w:r w:rsidRPr="006A7D02">
        <w:rPr>
          <w:i/>
        </w:rPr>
        <w:t>Procedia Economics and Finance, 23</w:t>
      </w:r>
      <w:r w:rsidRPr="006A7D02">
        <w:t>, 473-477. doi:10.1016/S2212-5671(15)00490-6</w:t>
      </w:r>
    </w:p>
    <w:p w14:paraId="58A9CEA9" w14:textId="77777777" w:rsidR="00B04E3D" w:rsidRPr="006A7D02" w:rsidRDefault="00B04E3D" w:rsidP="00B04E3D">
      <w:pPr>
        <w:pStyle w:val="EndNoteBibliography"/>
        <w:ind w:left="720" w:hanging="720"/>
      </w:pPr>
      <w:r w:rsidRPr="006A7D02">
        <w:t xml:space="preserve">Lintner, J. (1956). Distribution of Incomes of Corporations Among Dividends, Retained Earnings, and Taxes. </w:t>
      </w:r>
      <w:r w:rsidRPr="006A7D02">
        <w:rPr>
          <w:i/>
        </w:rPr>
        <w:t>The American Economic Review, 46</w:t>
      </w:r>
      <w:r w:rsidRPr="006A7D02">
        <w:t xml:space="preserve">(2), 97-113. Retrieved from </w:t>
      </w:r>
      <w:hyperlink r:id="rId9" w:history="1">
        <w:r w:rsidRPr="006A7D02">
          <w:rPr>
            <w:rStyle w:val="Hyperlink"/>
          </w:rPr>
          <w:t>https://www.jstor.org/stable/1910664</w:t>
        </w:r>
      </w:hyperlink>
    </w:p>
    <w:p w14:paraId="056A12F9" w14:textId="77777777" w:rsidR="00B04E3D" w:rsidRPr="006A7D02" w:rsidRDefault="00B04E3D" w:rsidP="00B04E3D">
      <w:pPr>
        <w:pStyle w:val="EndNoteBibliography"/>
        <w:ind w:left="720" w:hanging="720"/>
      </w:pPr>
      <w:r w:rsidRPr="006A7D02">
        <w:t xml:space="preserve">Modigliani, F., &amp; Miller, M. H. (1958). The Cost of Capital, Corporation Finance, and the Theory of Investment. </w:t>
      </w:r>
      <w:r w:rsidRPr="006A7D02">
        <w:rPr>
          <w:i/>
        </w:rPr>
        <w:t>The American Economic Review, 48</w:t>
      </w:r>
      <w:r w:rsidRPr="006A7D02">
        <w:t xml:space="preserve">(3), 261-297. </w:t>
      </w:r>
    </w:p>
    <w:p w14:paraId="51668B4F" w14:textId="77777777" w:rsidR="00B04E3D" w:rsidRPr="006A7D02" w:rsidRDefault="00B04E3D" w:rsidP="00B04E3D">
      <w:pPr>
        <w:pStyle w:val="EndNoteBibliography"/>
        <w:ind w:left="720" w:hanging="720"/>
      </w:pPr>
      <w:r w:rsidRPr="006A7D02">
        <w:t xml:space="preserve">Modigliani, F., &amp; Miller, M. H. (1963). Corporate Income Taxes and the Cost of Capital: A Correction. </w:t>
      </w:r>
      <w:r w:rsidRPr="006A7D02">
        <w:rPr>
          <w:i/>
        </w:rPr>
        <w:t>The American Economic Review, 53</w:t>
      </w:r>
      <w:r w:rsidRPr="006A7D02">
        <w:t xml:space="preserve">(3), 433-443. Retrieved from </w:t>
      </w:r>
      <w:hyperlink r:id="rId10" w:history="1">
        <w:r w:rsidRPr="006A7D02">
          <w:rPr>
            <w:rStyle w:val="Hyperlink"/>
          </w:rPr>
          <w:t>http://www.jstor.org/stable/1809167</w:t>
        </w:r>
      </w:hyperlink>
    </w:p>
    <w:p w14:paraId="65FB4005" w14:textId="77777777" w:rsidR="00B04E3D" w:rsidRPr="006A7D02" w:rsidRDefault="00B04E3D" w:rsidP="00B04E3D">
      <w:pPr>
        <w:pStyle w:val="EndNoteBibliography"/>
        <w:ind w:left="720" w:hanging="720"/>
      </w:pPr>
      <w:r w:rsidRPr="006A7D02">
        <w:t xml:space="preserve">Myers, S. C. (2001). Capital Structure. </w:t>
      </w:r>
      <w:r w:rsidRPr="006A7D02">
        <w:rPr>
          <w:i/>
        </w:rPr>
        <w:t>Journal of Economic Perspectives, 15</w:t>
      </w:r>
      <w:r w:rsidRPr="006A7D02">
        <w:t>(2), 81-102. doi:10.1257/jep.15.2.81</w:t>
      </w:r>
    </w:p>
    <w:p w14:paraId="72D3F65A" w14:textId="77777777" w:rsidR="00B04E3D" w:rsidRPr="006A7D02" w:rsidRDefault="00B04E3D" w:rsidP="00B04E3D">
      <w:pPr>
        <w:pStyle w:val="EndNoteBibliography"/>
        <w:ind w:left="720" w:hanging="720"/>
      </w:pPr>
      <w:r w:rsidRPr="006A7D02">
        <w:t xml:space="preserve">Myers, S. C., &amp; Majluf, N. S. (1984). Corporate Financing and Investment Decisions: When Firm Have Information that Investors Do Not Have. </w:t>
      </w:r>
      <w:r w:rsidRPr="006A7D02">
        <w:rPr>
          <w:i/>
        </w:rPr>
        <w:t>Journal of Financial Economics, 13</w:t>
      </w:r>
      <w:r w:rsidRPr="006A7D02">
        <w:t>, 187-221. doi:10.1016/0304-405X(84)90023-0</w:t>
      </w:r>
    </w:p>
    <w:p w14:paraId="489EC22C" w14:textId="77777777" w:rsidR="00B04E3D" w:rsidRPr="006A7D02" w:rsidRDefault="00B04E3D" w:rsidP="00B04E3D">
      <w:pPr>
        <w:pStyle w:val="EndNoteBibliography"/>
        <w:ind w:left="720" w:hanging="720"/>
      </w:pPr>
      <w:r w:rsidRPr="006A7D02">
        <w:t xml:space="preserve">Nisasmara, P. W., &amp; Musdholifah. (2016). Cash Holding, Good Corporate Governance and Firm Value. </w:t>
      </w:r>
      <w:r w:rsidRPr="006A7D02">
        <w:rPr>
          <w:i/>
        </w:rPr>
        <w:t>Jurnal Dinamika Manajemen, 7</w:t>
      </w:r>
      <w:r w:rsidRPr="006A7D02">
        <w:t xml:space="preserve">(2), 117-128. Retrieved from </w:t>
      </w:r>
      <w:hyperlink r:id="rId11" w:history="1">
        <w:r w:rsidRPr="006A7D02">
          <w:rPr>
            <w:rStyle w:val="Hyperlink"/>
          </w:rPr>
          <w:t>https://journal.unnes.ac.id/nju/index.php/jdm/article/view/8196</w:t>
        </w:r>
      </w:hyperlink>
    </w:p>
    <w:p w14:paraId="0D8BE5FB" w14:textId="77777777" w:rsidR="00B04E3D" w:rsidRPr="006A7D02" w:rsidRDefault="00B04E3D" w:rsidP="00B04E3D">
      <w:pPr>
        <w:pStyle w:val="EndNoteBibliography"/>
        <w:ind w:left="720" w:hanging="720"/>
      </w:pPr>
      <w:r w:rsidRPr="006A7D02">
        <w:t xml:space="preserve">Nurhayati, I., Sudiyatno, B., Puspitasari, E., &amp; Basiya, R. (2021). Moderating Effect of Firm Performance on Firm Value: Evidence from Indonesia. </w:t>
      </w:r>
      <w:r w:rsidRPr="006A7D02">
        <w:rPr>
          <w:i/>
        </w:rPr>
        <w:t>Problems and Perspectives in Management, 19</w:t>
      </w:r>
      <w:r w:rsidRPr="006A7D02">
        <w:t>(3), 85-94. doi:10.21511/ppm.19(3).2021.08</w:t>
      </w:r>
    </w:p>
    <w:p w14:paraId="4B029969" w14:textId="77777777" w:rsidR="00B04E3D" w:rsidRPr="006A7D02" w:rsidRDefault="00B04E3D" w:rsidP="00B04E3D">
      <w:pPr>
        <w:pStyle w:val="EndNoteBibliography"/>
        <w:ind w:left="720" w:hanging="720"/>
      </w:pPr>
      <w:r w:rsidRPr="006A7D02">
        <w:t xml:space="preserve">Nursetya, R. P., &amp; Hidayati, L. N. (2020). How Does Firm Size and Capital Structure Affect Firm Value? </w:t>
      </w:r>
      <w:r w:rsidRPr="006A7D02">
        <w:rPr>
          <w:i/>
        </w:rPr>
        <w:t>Journal of Management and Entrepreneurship Research, 1</w:t>
      </w:r>
      <w:r w:rsidRPr="006A7D02">
        <w:t>(2), 67-76. doi:10.34001/jmer.2020.12.01.2-7</w:t>
      </w:r>
    </w:p>
    <w:p w14:paraId="3DC43912" w14:textId="77777777" w:rsidR="00B04E3D" w:rsidRPr="006A7D02" w:rsidRDefault="00B04E3D" w:rsidP="00B04E3D">
      <w:pPr>
        <w:pStyle w:val="EndNoteBibliography"/>
        <w:ind w:left="720" w:hanging="720"/>
      </w:pPr>
      <w:r w:rsidRPr="006A7D02">
        <w:t xml:space="preserve">Prommin, P., Jumreornvong, S., Jiraporn, P., &amp; Tong, S. (2016). Liquidity, Ownership Concentration, Corporate Governance, and Firm Value: Evidence from Thailand. </w:t>
      </w:r>
      <w:r w:rsidRPr="006A7D02">
        <w:rPr>
          <w:i/>
        </w:rPr>
        <w:t>Global Finance Journal, 31</w:t>
      </w:r>
      <w:r w:rsidRPr="006A7D02">
        <w:t>, 73-87. doi:10.1016/j.gfj.2016.06.006</w:t>
      </w:r>
    </w:p>
    <w:p w14:paraId="2BCE3EE8" w14:textId="77777777" w:rsidR="00B04E3D" w:rsidRPr="006A7D02" w:rsidRDefault="00B04E3D" w:rsidP="00B04E3D">
      <w:pPr>
        <w:pStyle w:val="EndNoteBibliography"/>
        <w:ind w:left="720" w:hanging="720"/>
      </w:pPr>
      <w:r w:rsidRPr="006A7D02">
        <w:t xml:space="preserve">Satrio, A. B. (2021). Asymmetric Information and Firm Value during Pandemic COVID-19. </w:t>
      </w:r>
      <w:r w:rsidRPr="006A7D02">
        <w:rPr>
          <w:i/>
        </w:rPr>
        <w:t>Journal of Economics, Business &amp; Organization Research, 3</w:t>
      </w:r>
      <w:r w:rsidRPr="006A7D02">
        <w:t xml:space="preserve">(1), 27-43. Retrieved from </w:t>
      </w:r>
      <w:hyperlink r:id="rId12" w:history="1">
        <w:r w:rsidRPr="006A7D02">
          <w:rPr>
            <w:rStyle w:val="Hyperlink"/>
          </w:rPr>
          <w:t>https://dergipark.org.tr/en/pub/ebor/issue/62522/930860</w:t>
        </w:r>
      </w:hyperlink>
    </w:p>
    <w:p w14:paraId="22501C2E" w14:textId="77777777" w:rsidR="00B04E3D" w:rsidRPr="006A7D02" w:rsidRDefault="00B04E3D" w:rsidP="00B04E3D">
      <w:pPr>
        <w:pStyle w:val="EndNoteBibliography"/>
        <w:ind w:left="720" w:hanging="720"/>
      </w:pPr>
      <w:r w:rsidRPr="006A7D02">
        <w:t xml:space="preserve">Satrio, A. B. (2022). Firm Value in Indonesia: Will Foreigners be the Determinant? </w:t>
      </w:r>
      <w:r w:rsidRPr="006A7D02">
        <w:rPr>
          <w:i/>
        </w:rPr>
        <w:t>Jurnal Dinamika Manajemen, 13</w:t>
      </w:r>
      <w:r w:rsidRPr="006A7D02">
        <w:t>(1), 134-145. doi:10.15294/jdm.v13i1.35021</w:t>
      </w:r>
    </w:p>
    <w:p w14:paraId="7655D8A4" w14:textId="77777777" w:rsidR="00B04E3D" w:rsidRPr="006A7D02" w:rsidRDefault="00B04E3D" w:rsidP="00B04E3D">
      <w:pPr>
        <w:pStyle w:val="EndNoteBibliography"/>
        <w:ind w:left="720" w:hanging="720"/>
      </w:pPr>
      <w:r w:rsidRPr="006A7D02">
        <w:t xml:space="preserve">Seth, R., &amp; Mahenthiran, S. (2022). Impact of Dividend Payouts and Corporate Social Responsibility on Firm Value-Evidence from India. </w:t>
      </w:r>
      <w:r w:rsidRPr="006A7D02">
        <w:rPr>
          <w:i/>
        </w:rPr>
        <w:t>Journal of Business Research, 146</w:t>
      </w:r>
      <w:r w:rsidRPr="006A7D02">
        <w:t xml:space="preserve">, </w:t>
      </w:r>
      <w:r w:rsidRPr="006A7D02">
        <w:lastRenderedPageBreak/>
        <w:t>571-581. doi:10.1016/j.jbusres.2022.03.053</w:t>
      </w:r>
    </w:p>
    <w:p w14:paraId="52AB3EEC" w14:textId="5664F3CD" w:rsidR="001368D6" w:rsidRPr="001368D6" w:rsidRDefault="00B04E3D" w:rsidP="00B04E3D">
      <w:pPr>
        <w:spacing w:after="0"/>
        <w:ind w:left="720" w:hanging="720"/>
        <w:rPr>
          <w:szCs w:val="24"/>
          <w:lang w:val="id-ID"/>
        </w:rPr>
      </w:pPr>
      <w:r>
        <w:rPr>
          <w:lang w:eastAsia="id-ID"/>
        </w:rPr>
        <w:fldChar w:fldCharType="end"/>
      </w:r>
      <w:bookmarkStart w:id="1" w:name="_GoBack"/>
      <w:bookmarkEnd w:id="1"/>
    </w:p>
    <w:sectPr w:rsidR="001368D6" w:rsidRPr="001368D6" w:rsidSect="00EC4E29">
      <w:headerReference w:type="even" r:id="rId13"/>
      <w:headerReference w:type="default" r:id="rId14"/>
      <w:footerReference w:type="even" r:id="rId15"/>
      <w:footerReference w:type="default" r:id="rId16"/>
      <w:headerReference w:type="first" r:id="rId17"/>
      <w:footerReference w:type="first" r:id="rId18"/>
      <w:pgSz w:w="11906" w:h="16838" w:code="9"/>
      <w:pgMar w:top="907" w:right="1411" w:bottom="1282" w:left="1987" w:header="720" w:footer="720" w:gutter="0"/>
      <w:pgNumType w:start="53"/>
      <w:cols w:space="720" w:equalWidth="0">
        <w:col w:w="7929"/>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69A7" w14:textId="77777777" w:rsidR="00EC65BD" w:rsidRDefault="00EC65BD">
      <w:pPr>
        <w:spacing w:after="0"/>
      </w:pPr>
      <w:r>
        <w:separator/>
      </w:r>
    </w:p>
  </w:endnote>
  <w:endnote w:type="continuationSeparator" w:id="0">
    <w:p w14:paraId="31DCC2A1" w14:textId="77777777" w:rsidR="00EC65BD" w:rsidRDefault="00EC6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EC4E29">
          <w:rPr>
            <w:noProof/>
          </w:rPr>
          <w:t>62</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8" w14:textId="77777777" w:rsidR="00454590" w:rsidRDefault="00454590">
    <w:pPr>
      <w:pStyle w:val="Footer"/>
      <w:pBdr>
        <w:bottom w:val="single" w:sz="6" w:space="1" w:color="auto"/>
      </w:pBdr>
      <w:jc w:val="right"/>
      <w:rPr>
        <w:lang w:val="id-ID"/>
      </w:rPr>
    </w:pPr>
  </w:p>
  <w:p w14:paraId="52AB3EF9" w14:textId="77777777" w:rsidR="00F37CA2" w:rsidRDefault="00EC65BD">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EC4E29">
          <w:rPr>
            <w:noProof/>
          </w:rPr>
          <w:t>61</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EC4E29" w:rsidRPr="00EC4E29">
          <w:rPr>
            <w:noProof/>
            <w:lang w:val="id-ID"/>
          </w:rPr>
          <w:t>53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3880" w14:textId="77777777" w:rsidR="00EC65BD" w:rsidRDefault="00EC65BD">
      <w:pPr>
        <w:spacing w:after="0"/>
      </w:pPr>
      <w:r>
        <w:separator/>
      </w:r>
    </w:p>
  </w:footnote>
  <w:footnote w:type="continuationSeparator" w:id="0">
    <w:p w14:paraId="60F1857A" w14:textId="77777777" w:rsidR="00EC65BD" w:rsidRDefault="00EC65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1" w14:textId="3FA16C21" w:rsidR="00F37CA2" w:rsidRPr="002F583B" w:rsidRDefault="00F37CA2"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w:t>
    </w:r>
    <w:r w:rsidR="00EC4E29">
      <w:rPr>
        <w:rFonts w:eastAsia="Calibri"/>
        <w:i/>
        <w:color w:val="auto"/>
        <w:lang w:val="id-ID"/>
      </w:rPr>
      <w:t>f Family Business Practices Vol 7, Issue 1, 2024</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3" w14:textId="0C2DBA86" w:rsidR="00F37CA2" w:rsidRPr="002F583B" w:rsidRDefault="00F37CA2"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w:t>
    </w:r>
    <w:r w:rsidRPr="002F583B">
      <w:rPr>
        <w:rFonts w:eastAsia="Calibri"/>
        <w:i/>
        <w:color w:val="auto"/>
        <w:lang w:val="id-ID"/>
      </w:rPr>
      <w:t xml:space="preserve">Family Business Practices </w:t>
    </w:r>
    <w:r w:rsidR="00EC4E29">
      <w:rPr>
        <w:rFonts w:eastAsia="Calibri"/>
        <w:i/>
        <w:color w:val="auto"/>
        <w:lang w:val="id-ID"/>
      </w:rPr>
      <w:t>Vol 7, Issue 1, 2024</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B" w14:textId="7899E3BD" w:rsidR="0093005F" w:rsidRPr="00EC4E29" w:rsidRDefault="002F583B" w:rsidP="002F583B">
    <w:pPr>
      <w:pBdr>
        <w:bottom w:val="single" w:sz="6" w:space="1" w:color="auto"/>
      </w:pBdr>
      <w:tabs>
        <w:tab w:val="left" w:pos="0"/>
      </w:tabs>
      <w:spacing w:after="0"/>
      <w:ind w:left="0" w:firstLine="0"/>
      <w:jc w:val="right"/>
      <w:rPr>
        <w:rFonts w:eastAsia="Calibri"/>
        <w:i/>
        <w:color w:val="auto"/>
        <w:lang w:val="id-ID"/>
      </w:rPr>
    </w:pPr>
    <w:r w:rsidRPr="004672D0">
      <w:rPr>
        <w:noProof/>
        <w:lang w:val="id-ID" w:eastAsia="id-ID"/>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4pbEAAAA2gAAAA8AAABkcnMvZG93bnJldi54bWxEj9FqwkAURN8L/sNyhb7VjYJWUjfBNggq&#10;9cHoB9xmb5PU7N2wu9X077tCoY/DzJxhVvlgOnEl51vLCqaTBARxZXXLtYLzafO0BOEDssbOMin4&#10;IQ95NnpYYartjY90LUMtIoR9igqaEPpUSl81ZNBPbE8cvU/rDIYoXS21w1uEm07OkmQhDbYcFxrs&#10;6a2h6lJ+GwXW8euzucxP77tz4RaH8utjXxRKPY6H9QuIQEP4D/+1t1rBDO5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x4pbEAAAA2gAAAA8AAAAAAAAAAAAAAAAA&#10;nwIAAGRycy9kb3ducmV2LnhtbFBLBQYAAAAABAAEAPcAAACQAw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EC4E29">
      <w:rPr>
        <w:rFonts w:eastAsia="Calibri"/>
        <w:i/>
        <w:color w:val="auto"/>
        <w:lang w:val="id-ID"/>
      </w:rPr>
      <w:t>7</w:t>
    </w:r>
    <w:r w:rsidRPr="002F583B">
      <w:rPr>
        <w:rFonts w:eastAsia="Calibri"/>
        <w:i/>
        <w:color w:val="auto"/>
        <w:lang w:val="id-ID"/>
      </w:rPr>
      <w:t>, Issue 1, 20</w:t>
    </w:r>
    <w:r w:rsidR="00EC4E29">
      <w:rPr>
        <w:rFonts w:eastAsia="Calibri"/>
        <w:i/>
        <w:color w:val="auto"/>
        <w:lang w:val="en-US"/>
      </w:rPr>
      <w:t>2</w:t>
    </w:r>
    <w:r w:rsidR="00EC4E29">
      <w:rPr>
        <w:rFonts w:eastAsia="Calibri"/>
        <w:i/>
        <w:color w:val="auto"/>
        <w:lang w:val="id-ID"/>
      </w:rPr>
      <w:t>4</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4"/>
  </w:num>
  <w:num w:numId="4">
    <w:abstractNumId w:val="19"/>
  </w:num>
  <w:num w:numId="5">
    <w:abstractNumId w:val="9"/>
  </w:num>
  <w:num w:numId="6">
    <w:abstractNumId w:val="18"/>
  </w:num>
  <w:num w:numId="7">
    <w:abstractNumId w:val="5"/>
  </w:num>
  <w:num w:numId="8">
    <w:abstractNumId w:val="16"/>
  </w:num>
  <w:num w:numId="9">
    <w:abstractNumId w:val="2"/>
  </w:num>
  <w:num w:numId="10">
    <w:abstractNumId w:val="21"/>
  </w:num>
  <w:num w:numId="11">
    <w:abstractNumId w:val="4"/>
  </w:num>
  <w:num w:numId="12">
    <w:abstractNumId w:val="15"/>
  </w:num>
  <w:num w:numId="13">
    <w:abstractNumId w:val="12"/>
  </w:num>
  <w:num w:numId="14">
    <w:abstractNumId w:val="0"/>
  </w:num>
  <w:num w:numId="15">
    <w:abstractNumId w:val="8"/>
  </w:num>
  <w:num w:numId="16">
    <w:abstractNumId w:val="25"/>
  </w:num>
  <w:num w:numId="17">
    <w:abstractNumId w:val="11"/>
  </w:num>
  <w:num w:numId="18">
    <w:abstractNumId w:val="1"/>
  </w:num>
  <w:num w:numId="19">
    <w:abstractNumId w:val="26"/>
  </w:num>
  <w:num w:numId="20">
    <w:abstractNumId w:val="10"/>
  </w:num>
  <w:num w:numId="21">
    <w:abstractNumId w:val="14"/>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20"/>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F1371"/>
    <w:rsid w:val="0083575E"/>
    <w:rsid w:val="008C098D"/>
    <w:rsid w:val="008D42C3"/>
    <w:rsid w:val="008D69DE"/>
    <w:rsid w:val="00900471"/>
    <w:rsid w:val="00906074"/>
    <w:rsid w:val="0093005F"/>
    <w:rsid w:val="00942314"/>
    <w:rsid w:val="0096041A"/>
    <w:rsid w:val="0099647A"/>
    <w:rsid w:val="009A3DCC"/>
    <w:rsid w:val="009A478D"/>
    <w:rsid w:val="009B3A87"/>
    <w:rsid w:val="009F43DC"/>
    <w:rsid w:val="00A172C2"/>
    <w:rsid w:val="00A268BD"/>
    <w:rsid w:val="00A30234"/>
    <w:rsid w:val="00A45FA7"/>
    <w:rsid w:val="00A50DC1"/>
    <w:rsid w:val="00A61E4A"/>
    <w:rsid w:val="00A64E15"/>
    <w:rsid w:val="00A91BF1"/>
    <w:rsid w:val="00B04E3D"/>
    <w:rsid w:val="00B062F4"/>
    <w:rsid w:val="00B417C7"/>
    <w:rsid w:val="00B7090F"/>
    <w:rsid w:val="00B816AB"/>
    <w:rsid w:val="00BB3472"/>
    <w:rsid w:val="00BC1BB6"/>
    <w:rsid w:val="00BF71E4"/>
    <w:rsid w:val="00C1563C"/>
    <w:rsid w:val="00C24DF2"/>
    <w:rsid w:val="00C55F1E"/>
    <w:rsid w:val="00C614C4"/>
    <w:rsid w:val="00C8379C"/>
    <w:rsid w:val="00C837A5"/>
    <w:rsid w:val="00CC23E3"/>
    <w:rsid w:val="00CD2D55"/>
    <w:rsid w:val="00CE08B6"/>
    <w:rsid w:val="00CE134E"/>
    <w:rsid w:val="00D167FE"/>
    <w:rsid w:val="00D259CA"/>
    <w:rsid w:val="00D35FF7"/>
    <w:rsid w:val="00D6270A"/>
    <w:rsid w:val="00DA7E96"/>
    <w:rsid w:val="00DD4C5E"/>
    <w:rsid w:val="00E02063"/>
    <w:rsid w:val="00E646F9"/>
    <w:rsid w:val="00E73A20"/>
    <w:rsid w:val="00E77D2D"/>
    <w:rsid w:val="00EA02E7"/>
    <w:rsid w:val="00EC4E29"/>
    <w:rsid w:val="00EC65BD"/>
    <w:rsid w:val="00EC66F8"/>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customStyle="1" w:styleId="EndNoteBibliography">
    <w:name w:val="EndNote Bibliography"/>
    <w:basedOn w:val="Normal"/>
    <w:link w:val="EndNoteBibliographyChar"/>
    <w:rsid w:val="00B04E3D"/>
    <w:pPr>
      <w:widowControl w:val="0"/>
      <w:spacing w:after="0"/>
      <w:ind w:left="0" w:firstLine="0"/>
    </w:pPr>
    <w:rPr>
      <w:rFonts w:eastAsia="SimSun"/>
      <w:noProof/>
      <w:color w:val="auto"/>
      <w:sz w:val="20"/>
      <w:szCs w:val="20"/>
      <w:lang w:val="en-US" w:eastAsia="en-US"/>
    </w:rPr>
  </w:style>
  <w:style w:type="character" w:customStyle="1" w:styleId="EndNoteBibliographyChar">
    <w:name w:val="EndNote Bibliography Char"/>
    <w:link w:val="EndNoteBibliography"/>
    <w:rsid w:val="00B04E3D"/>
    <w:rPr>
      <w:rFonts w:ascii="Times New Roman" w:eastAsia="SimSun" w:hAnsi="Times New Roman" w:cs="Times New Roman"/>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customStyle="1" w:styleId="EndNoteBibliography">
    <w:name w:val="EndNote Bibliography"/>
    <w:basedOn w:val="Normal"/>
    <w:link w:val="EndNoteBibliographyChar"/>
    <w:rsid w:val="00B04E3D"/>
    <w:pPr>
      <w:widowControl w:val="0"/>
      <w:spacing w:after="0"/>
      <w:ind w:left="0" w:firstLine="0"/>
    </w:pPr>
    <w:rPr>
      <w:rFonts w:eastAsia="SimSun"/>
      <w:noProof/>
      <w:color w:val="auto"/>
      <w:sz w:val="20"/>
      <w:szCs w:val="20"/>
      <w:lang w:val="en-US" w:eastAsia="en-US"/>
    </w:rPr>
  </w:style>
  <w:style w:type="character" w:customStyle="1" w:styleId="EndNoteBibliographyChar">
    <w:name w:val="EndNote Bibliography Char"/>
    <w:link w:val="EndNoteBibliography"/>
    <w:rsid w:val="00B04E3D"/>
    <w:rPr>
      <w:rFonts w:ascii="Times New Roman" w:eastAsia="SimSun" w:hAnsi="Times New Roman"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gipark.org.tr/en/pub/ebor/issue/62522/9308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unnes.ac.id/nju/index.php/jdm/article/view/819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stor.org/stable/180916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stor.org/stable/191066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DCB002E5-B626-486D-9B00-A2EBEF0B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7351</Words>
  <Characters>41906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Fernando</cp:lastModifiedBy>
  <cp:revision>3</cp:revision>
  <dcterms:created xsi:type="dcterms:W3CDTF">2024-07-01T08:34:00Z</dcterms:created>
  <dcterms:modified xsi:type="dcterms:W3CDTF">2024-07-01T08:40:00Z</dcterms:modified>
</cp:coreProperties>
</file>